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23.png" ContentType="image/png"/>
  <Override PartName="/word/media/rId45.png" ContentType="image/png"/>
  <Override PartName="/word/media/rId84.png" ContentType="image/png"/>
  <Override PartName="/word/media/rId49.png" ContentType="image/png"/>
  <Override PartName="/word/media/rId53.png" ContentType="image/png"/>
  <Override PartName="/word/media/rId70.png" ContentType="image/png"/>
  <Override PartName="/word/media/rId66.png" ContentType="image/png"/>
  <Override PartName="/word/media/rId62.png" ContentType="image/png"/>
  <Override PartName="/word/media/rId27.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July</w:t>
      </w:r>
      <w:r>
        <w:t xml:space="preserve"> </w:t>
      </w:r>
      <w:r>
        <w:t xml:space="preserve">22,</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morgphlogical measures have focused on the shape of spheroids close to perfect shphere,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w:t>
      </w:r>
    </w:p>
    <w:p>
      <w:pPr>
        <w:pStyle w:val="BodyText"/>
      </w:pPr>
      <w:r>
        <w:t xml:space="preserve">These methods were applied to a case study of spheroids recovered from the previously excavated site of Qianshangying (QSY) of Northern China. In the following part, we assessed whether the QSY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QSY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End w:id="22"/>
    <w:bookmarkStart w:id="31" w:name="X437c305bb3e2d1cb82b2adb3bbfd18fbb36e1d2"/>
    <w:p>
      <w:pPr>
        <w:pStyle w:val="Heading1"/>
      </w:pPr>
      <w:r>
        <w:t xml:space="preserve">Context of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193508"/>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The assemblage appears to be largely in situ, exhibiting minimal disturbance after deposition and well-preserved patterns of technological combination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w:t>
      </w:r>
      <w:r>
        <w:t xml:space="preserve"> </w:t>
      </w:r>
      <w:r>
        <w:t xml:space="preserve">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Lava dominates the assemblage (n=637, 66.7%), followed by siliceous dolomite (n=209, 21.9%), with chert and other materials comprising the remainder (n=53, 5.5% and n=56, 5.9% respectively). Spheroids show no strong raw material preference. Of the 12 identified spheroids, 75.0% are lava (n = 9), 16.7% are siliceous dolomite (n = 2), and 8.3% is quartzite (n=1, classified under</w:t>
      </w:r>
      <w:r>
        <w:t xml:space="preserve"> </w:t>
      </w:r>
      <w:r>
        <w:t xml:space="preserve">“</w:t>
      </w:r>
      <w:r>
        <w:t xml:space="preserve">other</w:t>
      </w:r>
      <w:r>
        <w:t xml:space="preserve">”</w:t>
      </w:r>
      <w:r>
        <w:t xml:space="preserve">), roughly mirroring the assemblage’s overall composition except for the absence of chert. However, when compared to cores, which are 66.0% lava (n = 62), 22.3% siliceous dolomite (n = 21), 4.3% chert (n = 4), and 7.4% other (n = 7), spheroids show a higher frequency of lava use, suggesting the different preferences in raw material selection for the spheroids and the cores. (pie chart in need?)</w:t>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0" w:name="fig-core-spheroid-size"/>
          <w:p>
            <w:pPr>
              <w:pStyle w:val="Compact"/>
              <w:jc w:val="center"/>
            </w:pPr>
            <w:r>
              <w:drawing>
                <wp:inline>
                  <wp:extent cx="5943600" cy="4754880"/>
                  <wp:effectExtent b="0" l="0" r="0" t="0"/>
                  <wp:docPr descr="" title="" id="28" name="Picture"/>
                  <a:graphic>
                    <a:graphicData uri="http://schemas.openxmlformats.org/drawingml/2006/picture">
                      <pic:pic>
                        <pic:nvPicPr>
                          <pic:cNvPr descr="paper_files/figure-docx/fig-core-spheroid-size-1.png" id="29"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Box plot comparing of core, spheroid, and multifacial core dimensions</w:t>
            </w:r>
          </w:p>
          <w:bookmarkEnd w:id="30"/>
        </w:tc>
      </w:tr>
    </w:tbl>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core-spheroid-size">
        <w:r>
          <w:rPr>
            <w:rStyle w:val="Hyperlink"/>
          </w:rPr>
          <w:t xml:space="preserve">Figure 2</w:t>
        </w:r>
      </w:hyperlink>
      <w:r>
        <w:t xml:space="preserve">. Two spheroids showed outlier values in size, being either unusually large or small, while the rest exhibited relatively concentrated size distributions. In contrast, cores displayed greater variability in size, with standard deviations of 29.8 mm, 24.2 mm, and 20.3 mm for length, width, and thickness, respectively. The polyhedrons and multifacial cores showed less variation than the overall core group, but their dimensional variability remained substantially greater than that of the spheroids. Additionally, spheroids tend to have similar values across length, width, and thickness, reflecting their overall symmetry. In contrast, cores, including polyhedrons and multifacial cores show marked differences among these dimensions, indicating more irregular and elongated forms.</w:t>
      </w:r>
    </w:p>
    <w:bookmarkEnd w:id="31"/>
    <w:bookmarkStart w:id="43"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36"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2"/>
    <w:bookmarkStart w:id="3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is first mapped onto a unit sphere and then expressed as a combination of spherical harmonic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The shape is represented by a set of coefficients</w:t>
      </w:r>
      <w:r>
        <w:t xml:space="preserve"> </w:t>
      </w:r>
      <m:oMath>
        <m:acc>
          <m:accPr>
            <m:chr m:val="̂"/>
          </m:accPr>
          <m:e>
            <m:r>
              <m:t>f</m:t>
            </m:r>
          </m:e>
        </m:acc>
        <m:d>
          <m:dPr>
            <m:begChr m:val="("/>
            <m:endChr m:val=")"/>
            <m:sepChr m:val=""/>
            <m:grow/>
          </m:dPr>
          <m:e>
            <m:r>
              <m:t>l</m:t>
            </m:r>
            <m:r>
              <m:rPr>
                <m:sty m:val="p"/>
              </m:rPr>
              <m:t>,</m:t>
            </m:r>
            <m:r>
              <m:t>m</m:t>
            </m:r>
          </m:e>
        </m:d>
      </m:oMath>
      <w:r>
        <w:t xml:space="preserve">, which capture how much each function contributes.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3</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 They find that lithic reduction resulted in the spheroids becoming more spherical, and concluded that spheroids represent intentionally knapped items, however they did not provide code to document their analysis.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We hope to demonstrate the value of this method for quantitative shape analyses of objects that are roughly spherical in shape, such as the spheroids and cores in our case study from Qianshangying.</w:t>
      </w:r>
    </w:p>
    <w:p>
      <w:pPr>
        <w:pStyle w:val="BodyText"/>
      </w:pPr>
      <w:r>
        <w:t xml:space="preserve">We first imported, cleaned, and simplified the STL files of spheroids and cores to extract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variation between models, we applied UMAP for dimensionality reduction and visualization</w:t>
      </w:r>
      <w:r>
        <w:t xml:space="preserve"> </w:t>
      </w:r>
      <w:r>
        <w:t xml:space="preserve">(Bavel et al., 2023)</w:t>
      </w:r>
      <w:r>
        <w:t xml:space="preserve">. We included a set of standard geometric models—such as sphere, rounded cube, ellipsoid (1.2:1:0.8) and box (1.2:1:1), and disc-like (flattened, and like discoid core)—in the SPHARM analysis and UMAP as controls to aid in the interpretation of the results. Spheroids and cores were positioned in this morphospace based on their morphological similarity to these reference models: individuals that cluster more closely to a specific standard form exhibit corresponding shape characteristics. All these were conducted in Python. This study represents the first attempt that we are aware of to apply an open source and reproducible SPHARM analysis for the classification of stone artefacts.</w:t>
      </w:r>
    </w:p>
    <w:bookmarkEnd w:id="33"/>
    <w:bookmarkStart w:id="3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4"/>
    <w:bookmarkStart w:id="35" w:name="centroid-offset"/>
    <w:p>
      <w:pPr>
        <w:pStyle w:val="Heading3"/>
      </w:pPr>
      <w:r>
        <w:t xml:space="preserve">Centroid offset</w:t>
      </w:r>
    </w:p>
    <w:p>
      <w:pPr>
        <w:pStyle w:val="FirstParagraph"/>
      </w:pPr>
      <w:r>
        <w:t xml:space="preserve">We also used the distance between its centre of mass (CoM) and the centre of its bounding box (CoBB) as a measure of volumetric symmetry</w:t>
      </w:r>
      <w:r>
        <w:t xml:space="preserve"> </w:t>
      </w:r>
      <w:r>
        <w:t xml:space="preserve">(Muller et al., 2023)</w:t>
      </w:r>
      <w:r>
        <w:t xml:space="preserve">. A perfect sphere will have its CoM and CoBB perfectly aligned, resulting in a zero offset. As the object becomes more irregular or asymmetric, this offset increases. For each 3D model, the CoBB is defined as the midpoint of the maximum orthogonal dimensions—length (y), width (x), and thickness (z)—of its minimum bounding box. The CoM, which approximates the true mass center for objects made of homogeneous materials, is computed by weighting each triangular face of the mesh by its surface area and normalizing the result. The distance between CoM and CoBB, normalized by the artifact’s volume, serves as a quantitative indicator of sphericity: lower values indicate more spherical forms.</w:t>
      </w:r>
    </w:p>
    <w:bookmarkEnd w:id="35"/>
    <w:bookmarkEnd w:id="36"/>
    <w:bookmarkStart w:id="39"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37"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37"/>
    <w:bookmarkStart w:id="38"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38"/>
    <w:bookmarkEnd w:id="39"/>
    <w:bookmarkStart w:id="42"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0"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0"/>
    <w:bookmarkStart w:id="41"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41"/>
    <w:bookmarkEnd w:id="42"/>
    <w:bookmarkEnd w:id="43"/>
    <w:bookmarkStart w:id="81" w:name="results"/>
    <w:p>
      <w:pPr>
        <w:pStyle w:val="Heading1"/>
      </w:pPr>
      <w:r>
        <w:t xml:space="preserve">Results</w:t>
      </w:r>
    </w:p>
    <w:bookmarkStart w:id="61"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4"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613"/>
              <w:gridCol w:w="613"/>
              <w:gridCol w:w="948"/>
              <w:gridCol w:w="948"/>
              <w:gridCol w:w="669"/>
              <w:gridCol w:w="1059"/>
              <w:gridCol w:w="613"/>
              <w:gridCol w:w="725"/>
              <w:gridCol w:w="892"/>
              <w:gridCol w:w="836"/>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right"/>
                    <w:jc w:val="center"/>
                  </w:pPr>
                  <w:r>
                    <w:t xml:space="preserve">Centroid offset</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0.8658388</w:t>
                  </w:r>
                </w:p>
              </w:tc>
              <w:tc>
                <w:tcPr/>
                <w:p>
                  <w:pPr>
                    <w:pStyle w:val="Compact"/>
                    <w:jc w:val="right"/>
                    <w:jc w:val="center"/>
                  </w:pPr>
                  <w:r>
                    <w:t xml:space="preserve">1.020296</w:t>
                  </w:r>
                </w:p>
              </w:tc>
              <w:tc>
                <w:tcPr/>
                <w:p>
                  <w:pPr>
                    <w:pStyle w:val="Compact"/>
                    <w:jc w:val="right"/>
                    <w:jc w:val="center"/>
                  </w:pPr>
                  <w:r>
                    <w:t xml:space="preserve">1.571368</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0.8269944</w:t>
                  </w:r>
                </w:p>
              </w:tc>
              <w:tc>
                <w:tcPr/>
                <w:p>
                  <w:pPr>
                    <w:pStyle w:val="Compact"/>
                    <w:jc w:val="right"/>
                    <w:jc w:val="center"/>
                  </w:pPr>
                  <w:r>
                    <w:t xml:space="preserve">1.042784</w:t>
                  </w:r>
                </w:p>
              </w:tc>
              <w:tc>
                <w:tcPr/>
                <w:p>
                  <w:pPr>
                    <w:pStyle w:val="Compact"/>
                    <w:jc w:val="right"/>
                    <w:jc w:val="center"/>
                  </w:pPr>
                  <w:r>
                    <w:t xml:space="preserve">1.490442</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0.8255318</w:t>
                  </w:r>
                </w:p>
              </w:tc>
              <w:tc>
                <w:tcPr/>
                <w:p>
                  <w:pPr>
                    <w:pStyle w:val="Compact"/>
                    <w:jc w:val="right"/>
                    <w:jc w:val="center"/>
                  </w:pPr>
                  <w:r>
                    <w:t xml:space="preserve">1.079571</w:t>
                  </w:r>
                </w:p>
              </w:tc>
              <w:tc>
                <w:tcPr/>
                <w:p>
                  <w:pPr>
                    <w:pStyle w:val="Compact"/>
                    <w:jc w:val="right"/>
                    <w:jc w:val="center"/>
                  </w:pPr>
                  <w:r>
                    <w:t xml:space="preserve">1.282095</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0.8091313</w:t>
                  </w:r>
                </w:p>
              </w:tc>
              <w:tc>
                <w:tcPr/>
                <w:p>
                  <w:pPr>
                    <w:pStyle w:val="Compact"/>
                    <w:jc w:val="right"/>
                    <w:jc w:val="center"/>
                  </w:pPr>
                  <w:r>
                    <w:t xml:space="preserve">1.049576</w:t>
                  </w:r>
                </w:p>
              </w:tc>
              <w:tc>
                <w:tcPr/>
                <w:p>
                  <w:pPr>
                    <w:pStyle w:val="Compact"/>
                    <w:jc w:val="right"/>
                    <w:jc w:val="center"/>
                  </w:pPr>
                  <w:r>
                    <w:t xml:space="preserve">2.104250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0.7988300</w:t>
                  </w:r>
                </w:p>
              </w:tc>
              <w:tc>
                <w:tcPr/>
                <w:p>
                  <w:pPr>
                    <w:pStyle w:val="Compact"/>
                    <w:jc w:val="right"/>
                    <w:jc w:val="center"/>
                  </w:pPr>
                  <w:r>
                    <w:t xml:space="preserve">1.054399</w:t>
                  </w:r>
                </w:p>
              </w:tc>
              <w:tc>
                <w:tcPr/>
                <w:p>
                  <w:pPr>
                    <w:pStyle w:val="Compact"/>
                    <w:jc w:val="right"/>
                    <w:jc w:val="center"/>
                  </w:pPr>
                  <w:r>
                    <w:t xml:space="preserve">1.161040</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0.8032364</w:t>
                  </w:r>
                </w:p>
              </w:tc>
              <w:tc>
                <w:tcPr/>
                <w:p>
                  <w:pPr>
                    <w:pStyle w:val="Compact"/>
                    <w:jc w:val="right"/>
                    <w:jc w:val="center"/>
                  </w:pPr>
                  <w:r>
                    <w:t xml:space="preserve">1.039023</w:t>
                  </w:r>
                </w:p>
              </w:tc>
              <w:tc>
                <w:tcPr/>
                <w:p>
                  <w:pPr>
                    <w:pStyle w:val="Compact"/>
                    <w:jc w:val="right"/>
                    <w:jc w:val="center"/>
                  </w:pPr>
                  <w:r>
                    <w:t xml:space="preserve">1.285673</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0.9166715</w:t>
                  </w:r>
                </w:p>
              </w:tc>
              <w:tc>
                <w:tcPr/>
                <w:p>
                  <w:pPr>
                    <w:pStyle w:val="Compact"/>
                    <w:jc w:val="right"/>
                    <w:jc w:val="center"/>
                  </w:pPr>
                  <w:r>
                    <w:t xml:space="preserve">1.010390</w:t>
                  </w:r>
                </w:p>
              </w:tc>
              <w:tc>
                <w:tcPr/>
                <w:p>
                  <w:pPr>
                    <w:pStyle w:val="Compact"/>
                    <w:jc w:val="right"/>
                    <w:jc w:val="center"/>
                  </w:pPr>
                  <w:r>
                    <w:t xml:space="preserve">6.530839</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0.8807450</w:t>
                  </w:r>
                </w:p>
              </w:tc>
              <w:tc>
                <w:tcPr/>
                <w:p>
                  <w:pPr>
                    <w:pStyle w:val="Compact"/>
                    <w:jc w:val="right"/>
                    <w:jc w:val="center"/>
                  </w:pPr>
                  <w:r>
                    <w:t xml:space="preserve">1.024810</w:t>
                  </w:r>
                </w:p>
              </w:tc>
              <w:tc>
                <w:tcPr/>
                <w:p>
                  <w:pPr>
                    <w:pStyle w:val="Compact"/>
                    <w:jc w:val="right"/>
                    <w:jc w:val="center"/>
                  </w:pPr>
                  <w:r>
                    <w:t xml:space="preserve">2.363453</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0.8933988</w:t>
                  </w:r>
                </w:p>
              </w:tc>
              <w:tc>
                <w:tcPr/>
                <w:p>
                  <w:pPr>
                    <w:pStyle w:val="Compact"/>
                    <w:jc w:val="right"/>
                    <w:jc w:val="center"/>
                  </w:pPr>
                  <w:r>
                    <w:t xml:space="preserve">1.017122</w:t>
                  </w:r>
                </w:p>
              </w:tc>
              <w:tc>
                <w:tcPr/>
                <w:p>
                  <w:pPr>
                    <w:pStyle w:val="Compact"/>
                    <w:jc w:val="right"/>
                    <w:jc w:val="center"/>
                  </w:pPr>
                  <w:r>
                    <w:t xml:space="preserve">1.039335</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0.8419195</w:t>
                  </w:r>
                </w:p>
              </w:tc>
              <w:tc>
                <w:tcPr/>
                <w:p>
                  <w:pPr>
                    <w:pStyle w:val="Compact"/>
                    <w:jc w:val="right"/>
                    <w:jc w:val="center"/>
                  </w:pPr>
                  <w:r>
                    <w:t xml:space="preserve">1.042415</w:t>
                  </w:r>
                </w:p>
              </w:tc>
              <w:tc>
                <w:tcPr/>
                <w:p>
                  <w:pPr>
                    <w:pStyle w:val="Compact"/>
                    <w:jc w:val="right"/>
                    <w:jc w:val="center"/>
                  </w:pPr>
                  <w:r>
                    <w:t xml:space="preserve">6.912960</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0.8678116</w:t>
                  </w:r>
                </w:p>
              </w:tc>
              <w:tc>
                <w:tcPr/>
                <w:p>
                  <w:pPr>
                    <w:pStyle w:val="Compact"/>
                    <w:jc w:val="right"/>
                    <w:jc w:val="center"/>
                  </w:pPr>
                  <w:r>
                    <w:t xml:space="preserve">1.019932</w:t>
                  </w:r>
                </w:p>
              </w:tc>
              <w:tc>
                <w:tcPr/>
                <w:p>
                  <w:pPr>
                    <w:pStyle w:val="Compact"/>
                    <w:jc w:val="right"/>
                    <w:jc w:val="center"/>
                  </w:pPr>
                  <w:r>
                    <w:t xml:space="preserve">2.539858</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0.8690457</w:t>
                  </w:r>
                </w:p>
              </w:tc>
              <w:tc>
                <w:tcPr/>
                <w:p>
                  <w:pPr>
                    <w:pStyle w:val="Compact"/>
                    <w:jc w:val="right"/>
                    <w:jc w:val="center"/>
                  </w:pPr>
                  <w:r>
                    <w:t xml:space="preserve">1.027144</w:t>
                  </w:r>
                </w:p>
              </w:tc>
              <w:tc>
                <w:tcPr/>
                <w:p>
                  <w:pPr>
                    <w:pStyle w:val="Compact"/>
                    <w:jc w:val="right"/>
                    <w:jc w:val="center"/>
                  </w:pPr>
                  <w:r>
                    <w:t xml:space="preserve">4.001371</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0.9191438</w:t>
                  </w:r>
                </w:p>
              </w:tc>
              <w:tc>
                <w:tcPr/>
                <w:p>
                  <w:pPr>
                    <w:pStyle w:val="Compact"/>
                    <w:jc w:val="right"/>
                    <w:jc w:val="center"/>
                  </w:pPr>
                  <w:r>
                    <w:t xml:space="preserve">1.012857</w:t>
                  </w:r>
                </w:p>
              </w:tc>
              <w:tc>
                <w:tcPr/>
                <w:p>
                  <w:pPr>
                    <w:pStyle w:val="Compact"/>
                    <w:jc w:val="right"/>
                    <w:jc w:val="center"/>
                  </w:pPr>
                  <w:r>
                    <w:t xml:space="preserve">1.016149</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0.8717981</w:t>
                  </w:r>
                </w:p>
              </w:tc>
              <w:tc>
                <w:tcPr/>
                <w:p>
                  <w:pPr>
                    <w:pStyle w:val="Compact"/>
                    <w:jc w:val="right"/>
                    <w:jc w:val="center"/>
                  </w:pPr>
                  <w:r>
                    <w:t xml:space="preserve">1.022741</w:t>
                  </w:r>
                </w:p>
              </w:tc>
              <w:tc>
                <w:tcPr/>
                <w:p>
                  <w:pPr>
                    <w:pStyle w:val="Compact"/>
                    <w:jc w:val="right"/>
                    <w:jc w:val="center"/>
                  </w:pPr>
                  <w:r>
                    <w:t xml:space="preserve">1.109560</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0.8934587</w:t>
                  </w:r>
                </w:p>
              </w:tc>
              <w:tc>
                <w:tcPr/>
                <w:p>
                  <w:pPr>
                    <w:pStyle w:val="Compact"/>
                    <w:jc w:val="right"/>
                    <w:jc w:val="center"/>
                  </w:pPr>
                  <w:r>
                    <w:t xml:space="preserve">1.010859</w:t>
                  </w:r>
                </w:p>
              </w:tc>
              <w:tc>
                <w:tcPr/>
                <w:p>
                  <w:pPr>
                    <w:pStyle w:val="Compact"/>
                    <w:jc w:val="right"/>
                    <w:jc w:val="center"/>
                  </w:pPr>
                  <w:r>
                    <w:t xml:space="preserve">1.957580</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0.9274082</w:t>
                  </w:r>
                </w:p>
              </w:tc>
              <w:tc>
                <w:tcPr/>
                <w:p>
                  <w:pPr>
                    <w:pStyle w:val="Compact"/>
                    <w:jc w:val="right"/>
                    <w:jc w:val="center"/>
                  </w:pPr>
                  <w:r>
                    <w:t xml:space="preserve">1.012530</w:t>
                  </w:r>
                </w:p>
              </w:tc>
              <w:tc>
                <w:tcPr/>
                <w:p>
                  <w:pPr>
                    <w:pStyle w:val="Compact"/>
                    <w:jc w:val="right"/>
                    <w:jc w:val="center"/>
                  </w:pPr>
                  <w:r>
                    <w:t xml:space="preserve">3.038120</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0.8675301</w:t>
                  </w:r>
                </w:p>
              </w:tc>
              <w:tc>
                <w:tcPr/>
                <w:p>
                  <w:pPr>
                    <w:pStyle w:val="Compact"/>
                    <w:jc w:val="right"/>
                    <w:jc w:val="center"/>
                  </w:pPr>
                  <w:r>
                    <w:t xml:space="preserve">1.036793</w:t>
                  </w:r>
                </w:p>
              </w:tc>
              <w:tc>
                <w:tcPr/>
                <w:p>
                  <w:pPr>
                    <w:pStyle w:val="Compact"/>
                    <w:jc w:val="right"/>
                    <w:jc w:val="center"/>
                  </w:pPr>
                  <w:r>
                    <w:t xml:space="preserve">3.550725</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0.8606773</w:t>
                  </w:r>
                </w:p>
              </w:tc>
              <w:tc>
                <w:tcPr/>
                <w:p>
                  <w:pPr>
                    <w:pStyle w:val="Compact"/>
                    <w:jc w:val="right"/>
                    <w:jc w:val="center"/>
                  </w:pPr>
                  <w:r>
                    <w:t xml:space="preserve">1.031251</w:t>
                  </w:r>
                </w:p>
              </w:tc>
              <w:tc>
                <w:tcPr/>
                <w:p>
                  <w:pPr>
                    <w:pStyle w:val="Compact"/>
                    <w:jc w:val="right"/>
                    <w:jc w:val="center"/>
                  </w:pPr>
                  <w:r>
                    <w:t xml:space="preserve">2.519639</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0.7955195</w:t>
                  </w:r>
                </w:p>
              </w:tc>
              <w:tc>
                <w:tcPr/>
                <w:p>
                  <w:pPr>
                    <w:pStyle w:val="Compact"/>
                    <w:jc w:val="right"/>
                    <w:jc w:val="center"/>
                  </w:pPr>
                  <w:r>
                    <w:t xml:space="preserve">1.075345</w:t>
                  </w:r>
                </w:p>
              </w:tc>
              <w:tc>
                <w:tcPr/>
                <w:p>
                  <w:pPr>
                    <w:pStyle w:val="Compact"/>
                    <w:jc w:val="right"/>
                    <w:jc w:val="center"/>
                  </w:pPr>
                  <w:r>
                    <w:t xml:space="preserve">3.171066</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0.8547083</w:t>
                  </w:r>
                </w:p>
              </w:tc>
              <w:tc>
                <w:tcPr/>
                <w:p>
                  <w:pPr>
                    <w:pStyle w:val="Compact"/>
                    <w:jc w:val="right"/>
                    <w:jc w:val="center"/>
                  </w:pPr>
                  <w:r>
                    <w:t xml:space="preserve">1.018949</w:t>
                  </w:r>
                </w:p>
              </w:tc>
              <w:tc>
                <w:tcPr/>
                <w:p>
                  <w:pPr>
                    <w:pStyle w:val="Compact"/>
                    <w:jc w:val="right"/>
                    <w:jc w:val="center"/>
                  </w:pPr>
                  <w:r>
                    <w:t xml:space="preserve">7.942392</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0.8967779</w:t>
                  </w:r>
                </w:p>
              </w:tc>
              <w:tc>
                <w:tcPr/>
                <w:p>
                  <w:pPr>
                    <w:pStyle w:val="Compact"/>
                    <w:jc w:val="right"/>
                    <w:jc w:val="center"/>
                  </w:pPr>
                  <w:r>
                    <w:t xml:space="preserve">1.011231</w:t>
                  </w:r>
                </w:p>
              </w:tc>
              <w:tc>
                <w:tcPr/>
                <w:p>
                  <w:pPr>
                    <w:pStyle w:val="Compact"/>
                    <w:jc w:val="right"/>
                    <w:jc w:val="center"/>
                  </w:pPr>
                  <w:r>
                    <w:t xml:space="preserve">1.435167</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0.9011202</w:t>
                  </w:r>
                </w:p>
              </w:tc>
              <w:tc>
                <w:tcPr/>
                <w:p>
                  <w:pPr>
                    <w:pStyle w:val="Compact"/>
                    <w:jc w:val="right"/>
                    <w:jc w:val="center"/>
                  </w:pPr>
                  <w:r>
                    <w:t xml:space="preserve">1.011462</w:t>
                  </w:r>
                </w:p>
              </w:tc>
              <w:tc>
                <w:tcPr/>
                <w:p>
                  <w:pPr>
                    <w:pStyle w:val="Compact"/>
                    <w:jc w:val="right"/>
                    <w:jc w:val="center"/>
                  </w:pPr>
                  <w:r>
                    <w:t xml:space="preserve">3.964506</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0.8911406</w:t>
                  </w:r>
                </w:p>
              </w:tc>
              <w:tc>
                <w:tcPr/>
                <w:p>
                  <w:pPr>
                    <w:pStyle w:val="Compact"/>
                    <w:jc w:val="right"/>
                    <w:jc w:val="center"/>
                  </w:pPr>
                  <w:r>
                    <w:t xml:space="preserve">1.030040</w:t>
                  </w:r>
                </w:p>
              </w:tc>
              <w:tc>
                <w:tcPr/>
                <w:p>
                  <w:pPr>
                    <w:pStyle w:val="Compact"/>
                    <w:jc w:val="right"/>
                    <w:jc w:val="center"/>
                  </w:pPr>
                  <w:r>
                    <w:t xml:space="preserve">6.442905</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0.8688198</w:t>
                  </w:r>
                </w:p>
              </w:tc>
              <w:tc>
                <w:tcPr/>
                <w:p>
                  <w:pPr>
                    <w:pStyle w:val="Compact"/>
                    <w:jc w:val="right"/>
                    <w:jc w:val="center"/>
                  </w:pPr>
                  <w:r>
                    <w:t xml:space="preserve">1.031176</w:t>
                  </w:r>
                </w:p>
              </w:tc>
              <w:tc>
                <w:tcPr/>
                <w:p>
                  <w:pPr>
                    <w:pStyle w:val="Compact"/>
                    <w:jc w:val="right"/>
                    <w:jc w:val="center"/>
                  </w:pPr>
                  <w:r>
                    <w:t xml:space="preserve">1.426403</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0.8779463</w:t>
                  </w:r>
                </w:p>
              </w:tc>
              <w:tc>
                <w:tcPr/>
                <w:p>
                  <w:pPr>
                    <w:pStyle w:val="Compact"/>
                    <w:jc w:val="right"/>
                    <w:jc w:val="center"/>
                  </w:pPr>
                  <w:r>
                    <w:t xml:space="preserve">1.010787</w:t>
                  </w:r>
                </w:p>
              </w:tc>
              <w:tc>
                <w:tcPr/>
                <w:p>
                  <w:pPr>
                    <w:pStyle w:val="Compact"/>
                    <w:jc w:val="right"/>
                    <w:jc w:val="center"/>
                  </w:pPr>
                  <w:r>
                    <w:t xml:space="preserve">3.005867</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0.8757082</w:t>
                  </w:r>
                </w:p>
              </w:tc>
              <w:tc>
                <w:tcPr/>
                <w:p>
                  <w:pPr>
                    <w:pStyle w:val="Compact"/>
                    <w:jc w:val="right"/>
                    <w:jc w:val="center"/>
                  </w:pPr>
                  <w:r>
                    <w:t xml:space="preserve">1.027697</w:t>
                  </w:r>
                </w:p>
              </w:tc>
              <w:tc>
                <w:tcPr/>
                <w:p>
                  <w:pPr>
                    <w:pStyle w:val="Compact"/>
                    <w:jc w:val="right"/>
                    <w:jc w:val="center"/>
                  </w:pPr>
                  <w:r>
                    <w:t xml:space="preserve">4.231788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0.9021322</w:t>
                  </w:r>
                </w:p>
              </w:tc>
              <w:tc>
                <w:tcPr/>
                <w:p>
                  <w:pPr>
                    <w:pStyle w:val="Compact"/>
                    <w:jc w:val="right"/>
                    <w:jc w:val="center"/>
                  </w:pPr>
                  <w:r>
                    <w:t xml:space="preserve">1.016534</w:t>
                  </w:r>
                </w:p>
              </w:tc>
              <w:tc>
                <w:tcPr/>
                <w:p>
                  <w:pPr>
                    <w:pStyle w:val="Compact"/>
                    <w:jc w:val="right"/>
                    <w:jc w:val="center"/>
                  </w:pPr>
                  <w:r>
                    <w:t xml:space="preserve">4.845816</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0.9272417</w:t>
                  </w:r>
                </w:p>
              </w:tc>
              <w:tc>
                <w:tcPr/>
                <w:p>
                  <w:pPr>
                    <w:pStyle w:val="Compact"/>
                    <w:jc w:val="right"/>
                    <w:jc w:val="center"/>
                  </w:pPr>
                  <w:r>
                    <w:t xml:space="preserve">1.010491</w:t>
                  </w:r>
                </w:p>
              </w:tc>
              <w:tc>
                <w:tcPr/>
                <w:p>
                  <w:pPr>
                    <w:pStyle w:val="Compact"/>
                    <w:jc w:val="right"/>
                    <w:jc w:val="center"/>
                  </w:pPr>
                  <w:r>
                    <w:t xml:space="preserve">1.862968</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0.8203610</w:t>
                  </w:r>
                </w:p>
              </w:tc>
              <w:tc>
                <w:tcPr/>
                <w:p>
                  <w:pPr>
                    <w:pStyle w:val="Compact"/>
                    <w:jc w:val="right"/>
                    <w:jc w:val="center"/>
                  </w:pPr>
                  <w:r>
                    <w:t xml:space="preserve">1.040002</w:t>
                  </w:r>
                </w:p>
              </w:tc>
              <w:tc>
                <w:tcPr/>
                <w:p>
                  <w:pPr>
                    <w:pStyle w:val="Compact"/>
                    <w:jc w:val="right"/>
                    <w:jc w:val="center"/>
                  </w:pPr>
                  <w:r>
                    <w:t xml:space="preserve">1.144922</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0.9045169</w:t>
                  </w:r>
                </w:p>
              </w:tc>
              <w:tc>
                <w:tcPr/>
                <w:p>
                  <w:pPr>
                    <w:pStyle w:val="Compact"/>
                    <w:jc w:val="right"/>
                    <w:jc w:val="center"/>
                  </w:pPr>
                  <w:r>
                    <w:t xml:space="preserve">1.011386</w:t>
                  </w:r>
                </w:p>
              </w:tc>
              <w:tc>
                <w:tcPr/>
                <w:p>
                  <w:pPr>
                    <w:pStyle w:val="Compact"/>
                    <w:jc w:val="right"/>
                    <w:jc w:val="center"/>
                  </w:pPr>
                  <w:r>
                    <w:t xml:space="preserve">3.637126</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0.9067064</w:t>
                  </w:r>
                </w:p>
              </w:tc>
              <w:tc>
                <w:tcPr/>
                <w:p>
                  <w:pPr>
                    <w:pStyle w:val="Compact"/>
                    <w:jc w:val="right"/>
                    <w:jc w:val="center"/>
                  </w:pPr>
                  <w:r>
                    <w:t xml:space="preserve">1.009120</w:t>
                  </w:r>
                </w:p>
              </w:tc>
              <w:tc>
                <w:tcPr/>
                <w:p>
                  <w:pPr>
                    <w:pStyle w:val="Compact"/>
                    <w:jc w:val="right"/>
                    <w:jc w:val="center"/>
                  </w:pPr>
                  <w:r>
                    <w:t xml:space="preserve">5.505126</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0.9376838</w:t>
                  </w:r>
                </w:p>
              </w:tc>
              <w:tc>
                <w:tcPr/>
                <w:p>
                  <w:pPr>
                    <w:pStyle w:val="Compact"/>
                    <w:jc w:val="right"/>
                    <w:jc w:val="center"/>
                  </w:pPr>
                  <w:r>
                    <w:t xml:space="preserve">1.004382</w:t>
                  </w:r>
                </w:p>
              </w:tc>
              <w:tc>
                <w:tcPr/>
                <w:p>
                  <w:pPr>
                    <w:pStyle w:val="Compact"/>
                    <w:jc w:val="right"/>
                    <w:jc w:val="center"/>
                  </w:pPr>
                  <w:r>
                    <w:t xml:space="preserve">2.950471</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0.9151881</w:t>
                  </w:r>
                </w:p>
              </w:tc>
              <w:tc>
                <w:tcPr/>
                <w:p>
                  <w:pPr>
                    <w:pStyle w:val="Compact"/>
                    <w:jc w:val="right"/>
                    <w:jc w:val="center"/>
                  </w:pPr>
                  <w:r>
                    <w:t xml:space="preserve">1.014738</w:t>
                  </w:r>
                </w:p>
              </w:tc>
              <w:tc>
                <w:tcPr/>
                <w:p>
                  <w:pPr>
                    <w:pStyle w:val="Compact"/>
                    <w:jc w:val="right"/>
                    <w:jc w:val="center"/>
                  </w:pPr>
                  <w:r>
                    <w:t xml:space="preserve">3.890027</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0.9021261</w:t>
                  </w:r>
                </w:p>
              </w:tc>
              <w:tc>
                <w:tcPr/>
                <w:p>
                  <w:pPr>
                    <w:pStyle w:val="Compact"/>
                    <w:jc w:val="right"/>
                    <w:jc w:val="center"/>
                  </w:pPr>
                  <w:r>
                    <w:t xml:space="preserve">1.020418</w:t>
                  </w:r>
                </w:p>
              </w:tc>
              <w:tc>
                <w:tcPr/>
                <w:p>
                  <w:pPr>
                    <w:pStyle w:val="Compact"/>
                    <w:jc w:val="right"/>
                    <w:jc w:val="center"/>
                  </w:pPr>
                  <w:r>
                    <w:t xml:space="preserve">2.564553</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0.8791311</w:t>
                  </w:r>
                </w:p>
              </w:tc>
              <w:tc>
                <w:tcPr/>
                <w:p>
                  <w:pPr>
                    <w:pStyle w:val="Compact"/>
                    <w:jc w:val="right"/>
                    <w:jc w:val="center"/>
                  </w:pPr>
                  <w:r>
                    <w:t xml:space="preserve">1.018891</w:t>
                  </w:r>
                </w:p>
              </w:tc>
              <w:tc>
                <w:tcPr/>
                <w:p>
                  <w:pPr>
                    <w:pStyle w:val="Compact"/>
                    <w:jc w:val="right"/>
                    <w:jc w:val="center"/>
                  </w:pPr>
                  <w:r>
                    <w:t xml:space="preserve">1.867975</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0.8858050</w:t>
                  </w:r>
                </w:p>
              </w:tc>
              <w:tc>
                <w:tcPr/>
                <w:p>
                  <w:pPr>
                    <w:pStyle w:val="Compact"/>
                    <w:jc w:val="right"/>
                    <w:jc w:val="center"/>
                  </w:pPr>
                  <w:r>
                    <w:t xml:space="preserve">1.024280</w:t>
                  </w:r>
                </w:p>
              </w:tc>
              <w:tc>
                <w:tcPr/>
                <w:p>
                  <w:pPr>
                    <w:pStyle w:val="Compact"/>
                    <w:jc w:val="right"/>
                    <w:jc w:val="center"/>
                  </w:pPr>
                  <w:r>
                    <w:t xml:space="preserve">4.030924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0.8631108</w:t>
                  </w:r>
                </w:p>
              </w:tc>
              <w:tc>
                <w:tcPr/>
                <w:p>
                  <w:pPr>
                    <w:pStyle w:val="Compact"/>
                    <w:jc w:val="right"/>
                    <w:jc w:val="center"/>
                  </w:pPr>
                  <w:r>
                    <w:t xml:space="preserve">1.024487</w:t>
                  </w:r>
                </w:p>
              </w:tc>
              <w:tc>
                <w:tcPr/>
                <w:p>
                  <w:pPr>
                    <w:pStyle w:val="Compact"/>
                    <w:jc w:val="right"/>
                    <w:jc w:val="center"/>
                  </w:pPr>
                  <w:r>
                    <w:t xml:space="preserve">4.939933</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0.8992439</w:t>
                  </w:r>
                </w:p>
              </w:tc>
              <w:tc>
                <w:tcPr/>
                <w:p>
                  <w:pPr>
                    <w:pStyle w:val="Compact"/>
                    <w:jc w:val="right"/>
                    <w:jc w:val="center"/>
                  </w:pPr>
                  <w:r>
                    <w:t xml:space="preserve">1.023644</w:t>
                  </w:r>
                </w:p>
              </w:tc>
              <w:tc>
                <w:tcPr/>
                <w:p>
                  <w:pPr>
                    <w:pStyle w:val="Compact"/>
                    <w:jc w:val="right"/>
                    <w:jc w:val="center"/>
                  </w:pPr>
                  <w:r>
                    <w:t xml:space="preserve">3.083931</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0.8688678</w:t>
                  </w:r>
                </w:p>
              </w:tc>
              <w:tc>
                <w:tcPr/>
                <w:p>
                  <w:pPr>
                    <w:pStyle w:val="Compact"/>
                    <w:jc w:val="right"/>
                    <w:jc w:val="center"/>
                  </w:pPr>
                  <w:r>
                    <w:t xml:space="preserve">1.026525</w:t>
                  </w:r>
                </w:p>
              </w:tc>
              <w:tc>
                <w:tcPr/>
                <w:p>
                  <w:pPr>
                    <w:pStyle w:val="Compact"/>
                    <w:jc w:val="right"/>
                    <w:jc w:val="center"/>
                  </w:pPr>
                  <w:r>
                    <w:t xml:space="preserve">2.674256</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0.9045078</w:t>
                  </w:r>
                </w:p>
              </w:tc>
              <w:tc>
                <w:tcPr/>
                <w:p>
                  <w:pPr>
                    <w:pStyle w:val="Compact"/>
                    <w:jc w:val="right"/>
                    <w:jc w:val="center"/>
                  </w:pPr>
                  <w:r>
                    <w:t xml:space="preserve">1.016141</w:t>
                  </w:r>
                </w:p>
              </w:tc>
              <w:tc>
                <w:tcPr/>
                <w:p>
                  <w:pPr>
                    <w:pStyle w:val="Compact"/>
                    <w:jc w:val="right"/>
                    <w:jc w:val="center"/>
                  </w:pPr>
                  <w:r>
                    <w:t xml:space="preserve">2.324629</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0.8589857</w:t>
                  </w:r>
                </w:p>
              </w:tc>
              <w:tc>
                <w:tcPr/>
                <w:p>
                  <w:pPr>
                    <w:pStyle w:val="Compact"/>
                    <w:jc w:val="right"/>
                    <w:jc w:val="center"/>
                  </w:pPr>
                  <w:r>
                    <w:t xml:space="preserve">1.052747</w:t>
                  </w:r>
                </w:p>
              </w:tc>
              <w:tc>
                <w:tcPr/>
                <w:p>
                  <w:pPr>
                    <w:pStyle w:val="Compact"/>
                    <w:jc w:val="right"/>
                    <w:jc w:val="center"/>
                  </w:pPr>
                  <w:r>
                    <w:t xml:space="preserve">1.606183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0.8578307</w:t>
                  </w:r>
                </w:p>
              </w:tc>
              <w:tc>
                <w:tcPr/>
                <w:p>
                  <w:pPr>
                    <w:pStyle w:val="Compact"/>
                    <w:jc w:val="right"/>
                    <w:jc w:val="center"/>
                  </w:pPr>
                  <w:r>
                    <w:t xml:space="preserve">1.020420</w:t>
                  </w:r>
                </w:p>
              </w:tc>
              <w:tc>
                <w:tcPr/>
                <w:p>
                  <w:pPr>
                    <w:pStyle w:val="Compact"/>
                    <w:jc w:val="right"/>
                    <w:jc w:val="center"/>
                  </w:pPr>
                  <w:r>
                    <w:t xml:space="preserve">2.279425</w:t>
                  </w:r>
                </w:p>
              </w:tc>
              <w:tc>
                <w:tcPr/>
                <w:p>
                  <w:pPr>
                    <w:pStyle w:val="Compact"/>
                    <w:jc w:val="left"/>
                    <w:jc w:val="center"/>
                  </w:pPr>
                  <w:r>
                    <w:t xml:space="preserve">Y</w:t>
                  </w:r>
                </w:p>
              </w:tc>
            </w:tr>
          </w:tbl>
          <w:bookmarkEnd w:id="44"/>
          <w:p/>
        </w:tc>
      </w:tr>
    </w:tbl>
    <w:tbl>
      <w:tblPr>
        <w:tblStyle w:val="Table"/>
        <w:tblW w:type="pct" w:w="5000"/>
        <w:tblLook w:firstRow="0" w:lastRow="0" w:firstColumn="0" w:lastColumn="0" w:noHBand="0" w:noVBand="0" w:val="0000"/>
        <w:jc w:val="start"/>
        <w:tblLayout w:type="fixed"/>
      </w:tblPr>
      <w:tblGrid>
        <w:gridCol w:w="7920"/>
      </w:tblGrid>
      <w:tr>
        <w:tc>
          <w:tcPr/>
          <w:bookmarkStart w:id="48" w:name="fig-SPHARM-Reconstruction-by-Degree"/>
          <w:p>
            <w:pPr>
              <w:pStyle w:val="Compact"/>
              <w:jc w:val="center"/>
            </w:pPr>
            <w:r>
              <w:drawing>
                <wp:inline>
                  <wp:extent cx="5943600" cy="3962865"/>
                  <wp:effectExtent b="0" l="0" r="0" t="0"/>
                  <wp:docPr descr="" title="" id="46" name="Picture"/>
                  <a:graphic>
                    <a:graphicData uri="http://schemas.openxmlformats.org/drawingml/2006/picture">
                      <pic:pic>
                        <pic:nvPicPr>
                          <pic:cNvPr descr="figures/SPHARM_reconstruction.png" id="47" name="Picture"/>
                          <pic:cNvPicPr>
                            <a:picLocks noChangeArrowheads="1" noChangeAspect="1"/>
                          </pic:cNvPicPr>
                        </pic:nvPicPr>
                        <pic:blipFill>
                          <a:blip r:embed="rId4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Shape reconstruction of archaeological spheroids using SPHARM (various lmax levels)</w:t>
            </w:r>
          </w:p>
          <w:bookmarkEnd w:id="48"/>
        </w:tc>
      </w:tr>
    </w:tbl>
    <w:tbl>
      <w:tblPr>
        <w:tblStyle w:val="Table"/>
        <w:tblW w:type="pct" w:w="5000"/>
        <w:tblLook w:firstRow="0" w:lastRow="0" w:firstColumn="0" w:lastColumn="0" w:noHBand="0" w:noVBand="0" w:val="0000"/>
        <w:jc w:val="start"/>
        <w:tblLayout w:type="fixed"/>
      </w:tblPr>
      <w:tblGrid>
        <w:gridCol w:w="7920"/>
      </w:tblGrid>
      <w:tr>
        <w:tc>
          <w:tcPr/>
          <w:bookmarkStart w:id="52" w:name="fig-UMAP-SPHARM-clusters"/>
          <w:p>
            <w:pPr>
              <w:pStyle w:val="Compact"/>
              <w:jc w:val="center"/>
            </w:pPr>
            <w:r>
              <w:drawing>
                <wp:inline>
                  <wp:extent cx="5943600" cy="3465236"/>
                  <wp:effectExtent b="0" l="0" r="0" t="0"/>
                  <wp:docPr descr="" title="" id="50" name="Picture"/>
                  <a:graphic>
                    <a:graphicData uri="http://schemas.openxmlformats.org/drawingml/2006/picture">
                      <pic:pic>
                        <pic:nvPicPr>
                          <pic:cNvPr descr="figures/UMAP_SPHARM_clusters.png" id="51" name="Picture"/>
                          <pic:cNvPicPr>
                            <a:picLocks noChangeArrowheads="1" noChangeAspect="1"/>
                          </pic:cNvPicPr>
                        </pic:nvPicPr>
                        <pic:blipFill>
                          <a:blip r:embed="rId49"/>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UMAP plot showing distinct clusters of shapes derived from SPHARM</w:t>
            </w:r>
          </w:p>
          <w:bookmarkEnd w:id="52"/>
        </w:tc>
      </w:tr>
    </w:tbl>
    <w:tbl>
      <w:tblPr>
        <w:tblStyle w:val="Table"/>
        <w:tblW w:type="pct" w:w="5000"/>
        <w:tblLook w:firstRow="0" w:lastRow="0" w:firstColumn="0" w:lastColumn="0" w:noHBand="0" w:noVBand="0" w:val="0000"/>
        <w:jc w:val="start"/>
        <w:tblLayout w:type="fixed"/>
      </w:tblPr>
      <w:tblGrid>
        <w:gridCol w:w="7920"/>
      </w:tblGrid>
      <w:tr>
        <w:tc>
          <w:tcPr/>
          <w:bookmarkStart w:id="56" w:name="fig-UMAP-SPHARM-samples"/>
          <w:p>
            <w:pPr>
              <w:pStyle w:val="Compact"/>
              <w:jc w:val="center"/>
            </w:pPr>
            <w:r>
              <w:drawing>
                <wp:inline>
                  <wp:extent cx="5943600" cy="3465236"/>
                  <wp:effectExtent b="0" l="0" r="0" t="0"/>
                  <wp:docPr descr="" title="" id="54" name="Picture"/>
                  <a:graphic>
                    <a:graphicData uri="http://schemas.openxmlformats.org/drawingml/2006/picture">
                      <pic:pic>
                        <pic:nvPicPr>
                          <pic:cNvPr descr="figures/UMAP_SPHARM_samples.png" id="55" name="Picture"/>
                          <pic:cNvPicPr>
                            <a:picLocks noChangeArrowheads="1" noChangeAspect="1"/>
                          </pic:cNvPicPr>
                        </pic:nvPicPr>
                        <pic:blipFill>
                          <a:blip r:embed="rId53"/>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UMAP plot of SPHARM-derived shape features colored by types</w:t>
            </w:r>
          </w:p>
          <w:bookmarkEnd w:id="56"/>
        </w:tc>
      </w:tr>
    </w:tbl>
    <w:tbl>
      <w:tblPr>
        <w:tblStyle w:val="Table"/>
        <w:tblW w:type="pct" w:w="5000"/>
        <w:tblLook w:firstRow="0" w:lastRow="0" w:firstColumn="0" w:lastColumn="0" w:noHBand="0" w:noVBand="0" w:val="0000"/>
        <w:jc w:val="start"/>
        <w:tblLayout w:type="fixed"/>
      </w:tblPr>
      <w:tblGrid>
        <w:gridCol w:w="7920"/>
      </w:tblGrid>
      <w:tr>
        <w:tc>
          <w:tcPr/>
          <w:bookmarkStart w:id="60" w:name="fig-Correlation-SPHARMpower-Sphericity"/>
          <w:p>
            <w:pPr>
              <w:pStyle w:val="Compact"/>
              <w:jc w:val="center"/>
            </w:pPr>
            <w:r>
              <w:drawing>
                <wp:inline>
                  <wp:extent cx="5943600" cy="3962865"/>
                  <wp:effectExtent b="0" l="0" r="0" t="0"/>
                  <wp:docPr descr="" title="" id="58" name="Picture"/>
                  <a:graphic>
                    <a:graphicData uri="http://schemas.openxmlformats.org/drawingml/2006/picture">
                      <pic:pic>
                        <pic:nvPicPr>
                          <pic:cNvPr descr="figures/Correlation_SPHARMpower_Sphericity.png" id="59" name="Picture"/>
                          <pic:cNvPicPr>
                            <a:picLocks noChangeArrowheads="1" noChangeAspect="1"/>
                          </pic:cNvPicPr>
                        </pic:nvPicPr>
                        <pic:blipFill>
                          <a:blip r:embed="rId57"/>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analysis between SPHARMpower and Sphericity</w:t>
            </w:r>
          </w:p>
          <w:bookmarkEnd w:id="60"/>
        </w:tc>
      </w:tr>
    </w:tbl>
    <w:p>
      <w:pPr>
        <w:pStyle w:val="BodyText"/>
      </w:pPr>
      <w:r>
        <w:t xml:space="preserve">We calculated the spherical sphericity index, harmonics analysis, and centroid offset measurements to both the spheroids (n = 42) and all other multifacial and polyhedron cores (n = 29) in the QSY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1</w:t>
        </w:r>
      </w:hyperlink>
      <w:r>
        <w:t xml:space="preserve">.</w:t>
      </w:r>
    </w:p>
    <w:p>
      <w:pPr>
        <w:pStyle w:val="BodyText"/>
      </w:pPr>
      <w:r>
        <w:t xml:space="preserve">Our sphericity analysis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We performed a Variance Analysis on the power of each harmonic degree. The results indicate that l=2 and l=3 exhibit the highest variance across the sample, suggesting that these low-order terms capture the most significant shape variation. Specifically, l=2 reflects global asymmetries—such as elongation or flattening—while degree 3 is more sensitive to localized features like curvature and edge protrusions.</w:t>
      </w:r>
      <w:r>
        <w:t xml:space="preserve"> </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4</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5</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r>
        <w:t xml:space="preserve"> </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 (</w:t>
      </w:r>
      <w:hyperlink w:anchor="fig-Correlation-SPHARMpower-Sphericity">
        <w:r>
          <w:rPr>
            <w:rStyle w:val="Hyperlink"/>
          </w:rPr>
          <w:t xml:space="preserve">Figure 6</w:t>
        </w:r>
      </w:hyperlink>
      <w:r>
        <w:t xml:space="preserve">).</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r>
        <w:t xml:space="preserve"> </w:t>
      </w:r>
    </w:p>
    <w:bookmarkEnd w:id="61"/>
    <w:bookmarkStart w:id="74"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 (@fig-shaping-process).</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0.403 to 0.637 and isotropy ratios from 0.164 to 0.497.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65" w:name="fig-benn-ternary-plot"/>
          <w:p>
            <w:pPr>
              <w:pStyle w:val="Compact"/>
              <w:jc w:val="center"/>
            </w:pPr>
            <w:r>
              <w:drawing>
                <wp:inline>
                  <wp:extent cx="5943600" cy="4754880"/>
                  <wp:effectExtent b="0" l="0" r="0" t="0"/>
                  <wp:docPr descr="" title="" id="63" name="Picture"/>
                  <a:graphic>
                    <a:graphicData uri="http://schemas.openxmlformats.org/drawingml/2006/picture">
                      <pic:pic>
                        <pic:nvPicPr>
                          <pic:cNvPr descr="paper_files/figure-docx/fig-benn-ternary-plot-1.png" id="64" name="Picture"/>
                          <pic:cNvPicPr>
                            <a:picLocks noChangeArrowheads="1" noChangeAspect="1"/>
                          </pic:cNvPicPr>
                        </pic:nvPicPr>
                        <pic:blipFill>
                          <a:blip r:embed="rId6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5"/>
        </w:tc>
      </w:tr>
    </w:tbl>
    <w:tbl>
      <w:tblPr>
        <w:tblStyle w:val="Table"/>
        <w:tblW w:type="pct" w:w="5000"/>
        <w:tblLook w:firstRow="0" w:lastRow="0" w:firstColumn="0" w:lastColumn="0" w:noHBand="0" w:noVBand="0" w:val="0000"/>
        <w:jc w:val="start"/>
        <w:tblLayout w:type="fixed"/>
      </w:tblPr>
      <w:tblGrid>
        <w:gridCol w:w="7920"/>
      </w:tblGrid>
      <w:tr>
        <w:tc>
          <w:tcPr/>
          <w:bookmarkStart w:id="69" w:name="fig-spheroids-2797-1098"/>
          <w:p>
            <w:pPr>
              <w:pStyle w:val="Compact"/>
              <w:jc w:val="center"/>
            </w:pPr>
            <w:r>
              <w:drawing>
                <wp:inline>
                  <wp:extent cx="5943600" cy="3962865"/>
                  <wp:effectExtent b="0" l="0" r="0" t="0"/>
                  <wp:docPr descr="" title="" id="67" name="Picture"/>
                  <a:graphic>
                    <a:graphicData uri="http://schemas.openxmlformats.org/drawingml/2006/picture">
                      <pic:pic>
                        <pic:nvPicPr>
                          <pic:cNvPr descr="figures/spheroids_2797_1098.png" id="68" name="Picture"/>
                          <pic:cNvPicPr>
                            <a:picLocks noChangeArrowheads="1" noChangeAspect="1"/>
                          </pic:cNvPicPr>
                        </pic:nvPicPr>
                        <pic:blipFill>
                          <a:blip r:embed="rId66"/>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QSY spheroids</w:t>
            </w:r>
          </w:p>
          <w:bookmarkEnd w:id="69"/>
        </w:tc>
      </w:tr>
    </w:tbl>
    <w:tbl>
      <w:tblPr>
        <w:tblStyle w:val="Table"/>
        <w:tblW w:type="pct" w:w="5000"/>
        <w:tblLook w:firstRow="0" w:lastRow="0" w:firstColumn="0" w:lastColumn="0" w:noHBand="0" w:noVBand="0" w:val="0000"/>
        <w:jc w:val="start"/>
        <w:tblLayout w:type="fixed"/>
      </w:tblPr>
      <w:tblGrid>
        <w:gridCol w:w="7920"/>
      </w:tblGrid>
      <w:tr>
        <w:tc>
          <w:tcPr/>
          <w:bookmarkStart w:id="73" w:name="fig-shaping-process"/>
          <w:p>
            <w:pPr>
              <w:pStyle w:val="Compact"/>
              <w:jc w:val="center"/>
            </w:pPr>
            <w:r>
              <w:drawing>
                <wp:inline>
                  <wp:extent cx="5943600" cy="2994165"/>
                  <wp:effectExtent b="0" l="0" r="0" t="0"/>
                  <wp:docPr descr="" title="" id="71" name="Picture"/>
                  <a:graphic>
                    <a:graphicData uri="http://schemas.openxmlformats.org/drawingml/2006/picture">
                      <pic:pic>
                        <pic:nvPicPr>
                          <pic:cNvPr descr="figures/shaping_process.png" id="72" name="Picture"/>
                          <pic:cNvPicPr>
                            <a:picLocks noChangeArrowheads="1" noChangeAspect="1"/>
                          </pic:cNvPicPr>
                        </pic:nvPicPr>
                        <pic:blipFill>
                          <a:blip r:embed="rId70"/>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hypothesis of QSY spheroid shaping process</w:t>
            </w:r>
          </w:p>
          <w:bookmarkEnd w:id="73"/>
        </w:tc>
      </w:tr>
    </w:tbl>
    <w:bookmarkEnd w:id="74"/>
    <w:bookmarkStart w:id="80"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5" w:name="tbl-2"/>
          <w:p>
            <w:pPr>
              <w:jc w:val="center"/>
            </w:pPr>
            <w:pPr>
              <w:jc w:val="start"/>
              <w:spacing w:before="200"/>
              <w:pStyle w:val="ImageCaption"/>
            </w:pPr>
            <w:r>
              <w:t xml:space="preserve">Table 2: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5"/>
          <w:p/>
        </w:tc>
      </w:tr>
    </w:tbl>
    <w:tbl>
      <w:tblPr>
        <w:tblStyle w:val="Table"/>
        <w:tblW w:type="pct" w:w="5000"/>
        <w:tblLook w:firstRow="0" w:lastRow="0" w:firstColumn="0" w:lastColumn="0" w:noHBand="0" w:noVBand="0" w:val="0000"/>
        <w:jc w:val="start"/>
        <w:tblLayout w:type="fixed"/>
      </w:tblPr>
      <w:tblGrid>
        <w:gridCol w:w="7920"/>
      </w:tblGrid>
      <w:tr>
        <w:tc>
          <w:tcPr/>
          <w:bookmarkStart w:id="79" w:name="fig-spearman-correlation-matrix"/>
          <w:p>
            <w:pPr>
              <w:pStyle w:val="Compact"/>
              <w:jc w:val="center"/>
            </w:pPr>
            <w:r>
              <w:drawing>
                <wp:inline>
                  <wp:extent cx="5943600" cy="4754880"/>
                  <wp:effectExtent b="0" l="0" r="0" t="0"/>
                  <wp:docPr descr="" title="" id="77" name="Picture"/>
                  <a:graphic>
                    <a:graphicData uri="http://schemas.openxmlformats.org/drawingml/2006/picture">
                      <pic:pic>
                        <pic:nvPicPr>
                          <pic:cNvPr descr="paper_files/figure-docx/fig-spearman-correlation-matrix-1.png" id="78" name="Picture"/>
                          <pic:cNvPicPr>
                            <a:picLocks noChangeArrowheads="1" noChangeAspect="1"/>
                          </pic:cNvPicPr>
                        </pic:nvPicPr>
                        <pic:blipFill>
                          <a:blip r:embed="rId76"/>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9"/>
        </w:tc>
      </w:tr>
    </w:tbl>
    <w:p>
      <w:pPr>
        <w:pStyle w:val="BodyText"/>
      </w:pP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0"/>
    <w:bookmarkEnd w:id="81"/>
    <w:bookmarkStart w:id="89" w:name="discussion"/>
    <w:p>
      <w:pPr>
        <w:pStyle w:val="Heading1"/>
      </w:pPr>
      <w:r>
        <w:t xml:space="preserve">Discussion</w:t>
      </w:r>
    </w:p>
    <w:bookmarkStart w:id="82"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in QSY.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in QSY display considerable size variation, the finished spheroids, although two of them are relatively large or small, mostly cluster around a diameter of 6–9 cm (</w:t>
      </w:r>
      <w:hyperlink w:anchor="fig-core-spheroid-size">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QSY hominin deliberately employed a standardized production approach to create spheroids with consistent and formalized shapes. The technological strategy reflected in the QSY facted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QSY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QSY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relyingon morphology-based typologies that can lead to confusion. For instance, referring to them as battering spheroids could help distinguish them from faceted spheroids.</w:t>
      </w:r>
    </w:p>
    <w:p>
      <w:pPr>
        <w:pStyle w:val="BodyText"/>
      </w:pPr>
      <w:r>
        <w:t xml:space="preserve">Another issue we aim to address is the relationship between polyhedrons, spheroids, and bolas. While no bolas were identified at QSY, our quantitative analyses clearly differentiate polyhedrons from spheroids. These two artifact types differ in size, morphology, and production sequence. Polyhedrons at QSY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QSY,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QSY appear to have undergone another form of typological transformation—from hammerstones to spheroids. One specimen initially served as percussive tools but were later subjected to flake removal, suggesting a shift in function from battering to shaping.</w:t>
      </w:r>
    </w:p>
    <w:bookmarkEnd w:id="82"/>
    <w:bookmarkStart w:id="88" w:name="X8edc6111ffa1cd6d76ae51ce33fc21905fca147"/>
    <w:p>
      <w:pPr>
        <w:pStyle w:val="Heading2"/>
      </w:pPr>
      <w:r>
        <w:t xml:space="preserve">Technological and typological variability of spheroids in China</w:t>
      </w:r>
    </w:p>
    <w:tbl>
      <w:tblPr>
        <w:tblStyle w:val="Table"/>
        <w:tblW w:type="pct" w:w="5000"/>
        <w:tblLook w:firstRow="0" w:lastRow="0" w:firstColumn="0" w:lastColumn="0" w:noHBand="0" w:noVBand="0" w:val="0000"/>
        <w:jc w:val="start"/>
        <w:tblLayout w:type="fixed"/>
      </w:tblPr>
      <w:tblGrid>
        <w:gridCol w:w="7920"/>
      </w:tblGrid>
      <w:tr>
        <w:tc>
          <w:tcPr/>
          <w:bookmarkStart w:id="83" w:name="tbl-3"/>
          <w:p>
            <w:pPr>
              <w:jc w:val="center"/>
            </w:pPr>
            <w:pPr>
              <w:jc w:val="start"/>
              <w:spacing w:before="200"/>
              <w:pStyle w:val="ImageCaption"/>
            </w:pPr>
            <w:r>
              <w:t xml:space="preserve">Table 3: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83"/>
          <w:p/>
        </w:tc>
      </w:tr>
    </w:tbl>
    <w:p>
      <w:pPr>
        <w:pStyle w:val="BodyText"/>
      </w:pPr>
      <w:r>
        <w:t xml:space="preserve">site data: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tbl>
      <w:tblPr>
        <w:tblStyle w:val="Table"/>
        <w:tblW w:type="pct" w:w="5000"/>
        <w:tblLook w:firstRow="0" w:lastRow="0" w:firstColumn="0" w:lastColumn="0" w:noHBand="0" w:noVBand="0" w:val="0000"/>
        <w:jc w:val="start"/>
        <w:tblLayout w:type="fixed"/>
      </w:tblPr>
      <w:tblGrid>
        <w:gridCol w:w="7920"/>
      </w:tblGrid>
      <w:tr>
        <w:tc>
          <w:tcPr/>
          <w:bookmarkStart w:id="87" w:name="fig-Spheroids_distribution_China"/>
          <w:p>
            <w:pPr>
              <w:pStyle w:val="Compact"/>
              <w:jc w:val="center"/>
            </w:pPr>
            <w:r>
              <w:drawing>
                <wp:inline>
                  <wp:extent cx="5943600" cy="3405205"/>
                  <wp:effectExtent b="0" l="0" r="0" t="0"/>
                  <wp:docPr descr="" title="" id="85" name="Picture"/>
                  <a:graphic>
                    <a:graphicData uri="http://schemas.openxmlformats.org/drawingml/2006/picture">
                      <pic:pic>
                        <pic:nvPicPr>
                          <pic:cNvPr descr="figures/Spheroids_distribution_China.png" id="86" name="Picture"/>
                          <pic:cNvPicPr>
                            <a:picLocks noChangeArrowheads="1" noChangeAspect="1"/>
                          </pic:cNvPicPr>
                        </pic:nvPicPr>
                        <pic:blipFill>
                          <a:blip r:embed="rId84"/>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w:t>
            </w:r>
          </w:p>
          <w:bookmarkEnd w:id="87"/>
        </w:tc>
      </w:tr>
    </w:tbl>
    <w:p>
      <w:pPr>
        <w:pStyle w:val="BodyText"/>
      </w:pPr>
      <w:r>
        <w:t xml:space="preserve">In China, spheroids constitute a technological category with broad temporal and spatial distribution</w:t>
      </w:r>
      <w:r>
        <w:t xml:space="preserve"> </w:t>
      </w:r>
      <w:r>
        <w:t xml:space="preserve">(Yi et al., 2012)</w:t>
      </w:r>
      <w:r>
        <w:t xml:space="preserve">, as shown in</w:t>
      </w:r>
      <w:r>
        <w:t xml:space="preserve"> </w:t>
      </w:r>
      <w:hyperlink w:anchor="fig-Spheroids_distribution_China">
        <w:r>
          <w:rPr>
            <w:rStyle w:val="Hyperlink"/>
          </w:rPr>
          <w:t xml:space="preserve">Figure 11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China.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_distribution_China">
        <w:r>
          <w:rPr>
            <w:rStyle w:val="Hyperlink"/>
          </w:rPr>
          <w:t xml:space="preserve">Figure 11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this would suggest that shaping techniques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reflect a deliberate shaping strategy, may indicate a level of technical skill approaching that of the earliest Acheulean, or perhaps even foreshadowing their emergence.</w:t>
      </w:r>
    </w:p>
    <w:bookmarkEnd w:id="88"/>
    <w:bookmarkEnd w:id="89"/>
    <w:bookmarkStart w:id="90" w:name="conclusion"/>
    <w:p>
      <w:pPr>
        <w:pStyle w:val="Heading1"/>
      </w:pPr>
      <w:r>
        <w:t xml:space="preserve">Conclusion</w:t>
      </w:r>
    </w:p>
    <w:p>
      <w:pPr>
        <w:pStyle w:val="FirstParagraph"/>
      </w:pPr>
      <w:r>
        <w:t xml:space="preserve">This study provides one of the earliest systematic analyses focused on spheroids from northern China. By applying a range of quantitative methods, we conducted an integrated morphological and technological study of the QSY spheroids. Our results demonstrate that these spheroids were produced through a programmed reduction strategy aimed at achieving standardized spherical forms, primarily using hard-hammer direct percussion. The evidence of shaping strategies on QSY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QSY assemblage from ~429ka clearly reveals a higher level of technological sophistication.</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QSY and tend to appear within Acheulean or shaping-oriented techno-complexes, often dated later than QSY. This highlights the particular significance of the QSY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Cs/>
          <w:b/>
        </w:rPr>
        <w:t xml:space="preserve">hallinan2025?</w:t>
      </w:r>
      <w:r>
        <w:t xml:space="preserve">;</w:t>
      </w:r>
      <w:r>
        <w:t xml:space="preserve"> </w:t>
      </w:r>
      <w:r>
        <w:rPr>
          <w:bCs/>
          <w:b/>
        </w:rPr>
        <w:t xml:space="preserve">cao2025?</w:t>
      </w:r>
      <w:r>
        <w:t xml:space="preserve">;</w:t>
      </w:r>
      <w:r>
        <w:t xml:space="preserve"> </w:t>
      </w:r>
      <w:r>
        <w:rPr>
          <w:bCs/>
          <w:b/>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pPr>
        <w:pStyle w:val="SourceCode"/>
      </w:pPr>
      <w:r>
        <w:rPr>
          <w:rStyle w:val="NormalTok"/>
        </w:rPr>
        <w:t xml:space="preserve">?pie</w:t>
      </w:r>
    </w:p>
    <w:p>
      <w:r>
        <w:br w:type="page"/>
      </w:r>
    </w:p>
    <w:bookmarkEnd w:id="90"/>
    <w:bookmarkStart w:id="196" w:name="references"/>
    <w:p>
      <w:pPr>
        <w:pStyle w:val="Heading1"/>
      </w:pPr>
      <w:r>
        <w:t xml:space="preserve">References</w:t>
      </w:r>
    </w:p>
    <w:bookmarkStart w:id="194" w:name="refs"/>
    <w:bookmarkStart w:id="91" w:name="ref-Van2023"/>
    <w:p>
      <w:pPr>
        <w:pStyle w:val="Bibliography"/>
      </w:pPr>
      <w:r>
        <w:t xml:space="preserve">Bavel, C. van, Thiels, W., Jelier, R., 2023. Cell shape characterization, alignment, and comparison using FlowShape. Bioinformatics 39, btad383.</w:t>
      </w:r>
    </w:p>
    <w:bookmarkEnd w:id="91"/>
    <w:bookmarkStart w:id="93"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2">
        <w:r>
          <w:rPr>
            <w:rStyle w:val="Hyperlink"/>
          </w:rPr>
          <w:t xml:space="preserve">https://doi.org/10.1073/pnas.1221285110</w:t>
        </w:r>
      </w:hyperlink>
    </w:p>
    <w:bookmarkEnd w:id="93"/>
    <w:bookmarkStart w:id="95"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4">
        <w:r>
          <w:rPr>
            <w:rStyle w:val="Hyperlink"/>
          </w:rPr>
          <w:t xml:space="preserve">https://doi.org/10.1073/pnas.1820177116</w:t>
        </w:r>
      </w:hyperlink>
    </w:p>
    <w:bookmarkEnd w:id="95"/>
    <w:bookmarkStart w:id="97"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6">
        <w:r>
          <w:rPr>
            <w:rStyle w:val="Hyperlink"/>
          </w:rPr>
          <w:t xml:space="preserve">https://doi.org/10.1007/s41982-024-00195-x</w:t>
        </w:r>
      </w:hyperlink>
    </w:p>
    <w:bookmarkEnd w:id="97"/>
    <w:bookmarkStart w:id="9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8"/>
    <w:bookmarkStart w:id="9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99"/>
    <w:bookmarkStart w:id="100" w:name="ref-Dai1973Lantian"/>
    <w:p>
      <w:pPr>
        <w:pStyle w:val="Bibliography"/>
      </w:pPr>
      <w:r>
        <w:t xml:space="preserve">Dai, E., Xu, C., 1973. New paleolithic materials and the lantian man culture. Kaogu Xuebao (Acta Archaeologica Sinica) 14.</w:t>
      </w:r>
    </w:p>
    <w:bookmarkEnd w:id="100"/>
    <w:bookmarkStart w:id="102" w:name="ref-delatorre2004"/>
    <w:p>
      <w:pPr>
        <w:pStyle w:val="Bibliography"/>
      </w:pPr>
      <w:r>
        <w:t xml:space="preserve">De La Torre, I., 2004. Omo Revisited: Evaluating the Technological Skills of Pliocene Hominids. Current Anthropology 45, 439–465.</w:t>
      </w:r>
      <w:r>
        <w:t xml:space="preserve"> </w:t>
      </w:r>
      <w:hyperlink r:id="rId101">
        <w:r>
          <w:rPr>
            <w:rStyle w:val="Hyperlink"/>
          </w:rPr>
          <w:t xml:space="preserve">https://doi.org/10.1086/422079</w:t>
        </w:r>
      </w:hyperlink>
    </w:p>
    <w:bookmarkEnd w:id="102"/>
    <w:bookmarkStart w:id="104" w:name="ref-deweyer2017"/>
    <w:p>
      <w:pPr>
        <w:pStyle w:val="Bibliography"/>
      </w:pPr>
      <w:r>
        <w:t xml:space="preserve">De Weyer, L., 2017. An Early Stone Age in Western Africa? Spheroids and polyhedrons at Ounjougou, Mali. Journal of Lithic Studies 4.</w:t>
      </w:r>
      <w:r>
        <w:t xml:space="preserve"> </w:t>
      </w:r>
      <w:hyperlink r:id="rId103">
        <w:r>
          <w:rPr>
            <w:rStyle w:val="Hyperlink"/>
          </w:rPr>
          <w:t xml:space="preserve">https://doi.org/10.2218/jls.v4i1.1682</w:t>
        </w:r>
      </w:hyperlink>
    </w:p>
    <w:bookmarkEnd w:id="104"/>
    <w:bookmarkStart w:id="105" w:name="ref-duke2021"/>
    <w:p>
      <w:pPr>
        <w:pStyle w:val="Bibliography"/>
      </w:pPr>
      <w:r>
        <w:t xml:space="preserve">Duke, H., Feibel, C., Harmand, S., 2021. Before the acheulean: The emergence of bifacial shaping at kokiselei 6 (1.8 ma), west turkana, kenya. Journal of Human Evolution 159, 103061.</w:t>
      </w:r>
    </w:p>
    <w:bookmarkEnd w:id="105"/>
    <w:bookmarkStart w:id="10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6">
        <w:r>
          <w:rPr>
            <w:rStyle w:val="Hyperlink"/>
          </w:rPr>
          <w:t xml:space="preserve">https://doi.org/10.2307/2694247</w:t>
        </w:r>
      </w:hyperlink>
    </w:p>
    <w:bookmarkEnd w:id="107"/>
    <w:bookmarkStart w:id="108" w:name="ref-Fang2002"/>
    <w:p>
      <w:pPr>
        <w:pStyle w:val="Bibliography"/>
      </w:pPr>
      <w:r>
        <w:t xml:space="preserve">Fang, Y., Wang, J., Liang, R., Wang, J., Zhai, Z., Yang, C., 2002. Paleolithic artifacts discovered at fangniushan, jurong county, jiangsu province. Acta Anthropologica Sinica 21, 41–49.</w:t>
      </w:r>
    </w:p>
    <w:bookmarkEnd w:id="108"/>
    <w:bookmarkStart w:id="109" w:name="ref-gallotti2018emergence"/>
    <w:p>
      <w:pPr>
        <w:pStyle w:val="Bibliography"/>
      </w:pPr>
      <w:r>
        <w:t xml:space="preserve">Gallotti, R., Mussi, M., others, 2018. The emergence of the acheulean in east africa and beyond. Speringer, Cham.</w:t>
      </w:r>
    </w:p>
    <w:bookmarkEnd w:id="109"/>
    <w:bookmarkStart w:id="111" w:name="ref-Grieb2022"/>
    <w:p>
      <w:pPr>
        <w:pStyle w:val="Bibliography"/>
      </w:pPr>
      <w:r>
        <w:t xml:space="preserve">Grieb, J., Barbero-García, I., Lerma, J.L., 2022. Spherical harmonics to quantify cranial asymmetry in deformational plagiocephaly. Scientific Reports 12, 167.</w:t>
      </w:r>
      <w:r>
        <w:t xml:space="preserve"> </w:t>
      </w:r>
      <w:hyperlink r:id="rId110">
        <w:r>
          <w:rPr>
            <w:rStyle w:val="Hyperlink"/>
          </w:rPr>
          <w:t xml:space="preserve">https://doi.org/10.1038/s41598-021-04181-z</w:t>
        </w:r>
      </w:hyperlink>
    </w:p>
    <w:bookmarkEnd w:id="111"/>
    <w:bookmarkStart w:id="112" w:name="ref-Harper2022"/>
    <w:p>
      <w:pPr>
        <w:pStyle w:val="Bibliography"/>
      </w:pPr>
      <w:r>
        <w:t xml:space="preserve">Harper, C.M., Goldstein, D.M., Sylvester, A.D., 2022. Comparing and combining sliding semilandmarks and weighted spherical harmonics for shape analysis. Journal of anatomy 240, 678–687.</w:t>
      </w:r>
    </w:p>
    <w:bookmarkEnd w:id="112"/>
    <w:bookmarkStart w:id="114"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3">
        <w:r>
          <w:rPr>
            <w:rStyle w:val="Hyperlink"/>
          </w:rPr>
          <w:t xml:space="preserve">https://doi.org/10.1242/dev.202251</w:t>
        </w:r>
      </w:hyperlink>
    </w:p>
    <w:bookmarkEnd w:id="114"/>
    <w:bookmarkStart w:id="115" w:name="ref-Huang1964Sanmenxia"/>
    <w:p>
      <w:pPr>
        <w:pStyle w:val="Bibliography"/>
      </w:pPr>
      <w:r>
        <w:t xml:space="preserve">Huang, W., 1964. Paleolithic artifacts from the sanmenxia region in western henan. Vertebrata PalAsiatica 66–85.</w:t>
      </w:r>
    </w:p>
    <w:bookmarkEnd w:id="115"/>
    <w:bookmarkStart w:id="116" w:name="ref-inizan1999"/>
    <w:p>
      <w:pPr>
        <w:pStyle w:val="Bibliography"/>
      </w:pPr>
      <w:r>
        <w:t xml:space="preserve">Inizan, M.-L., Reduron-Ballinger, M., Roche, H., 1999. Technology and terminology of knapped stone, 5th ed. Cercle de Recherches et d’Études Préhistoriques, Nanterre.</w:t>
      </w:r>
    </w:p>
    <w:bookmarkEnd w:id="116"/>
    <w:bookmarkStart w:id="117"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7"/>
    <w:bookmarkStart w:id="118" w:name="ref-isaac1986foundation"/>
    <w:p>
      <w:pPr>
        <w:pStyle w:val="Bibliography"/>
      </w:pPr>
      <w:r>
        <w:t xml:space="preserve">Isaac, Glynn L., 1986. Foundation stones: Early artefacts as indicators of activities and abilities. Stone Age prehistory: studies in memory of Charles McBurney 221–241.</w:t>
      </w:r>
    </w:p>
    <w:bookmarkEnd w:id="118"/>
    <w:bookmarkStart w:id="119"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19"/>
    <w:bookmarkStart w:id="120" w:name="ref-Jia1962Kehe"/>
    <w:p>
      <w:pPr>
        <w:pStyle w:val="Bibliography"/>
      </w:pPr>
      <w:r>
        <w:t xml:space="preserve">Jia, L., 1962. Kehe: An early paleolithic cultural site in southwestern shanxi. Science Press.</w:t>
      </w:r>
    </w:p>
    <w:bookmarkEnd w:id="120"/>
    <w:bookmarkStart w:id="121" w:name="ref-Jia1959Xigou"/>
    <w:p>
      <w:pPr>
        <w:pStyle w:val="Bibliography"/>
      </w:pPr>
      <w:r>
        <w:t xml:space="preserve">Jia, L., 1959. A paleolithic cultural site at xigou, licun, quwo county, shanxi province. Kaogu (Archaeology) 6.</w:t>
      </w:r>
    </w:p>
    <w:bookmarkEnd w:id="121"/>
    <w:bookmarkStart w:id="122" w:name="ref-Jia1976Xujayao"/>
    <w:p>
      <w:pPr>
        <w:pStyle w:val="Bibliography"/>
      </w:pPr>
      <w:r>
        <w:t xml:space="preserve">Jia, L., Wei, Q., 1976. The paleolithic cultural site of xujayao, yanggao. Kaogu Xuebao (Acta Archaeologica Sinica) 24.</w:t>
      </w:r>
    </w:p>
    <w:bookmarkEnd w:id="122"/>
    <w:bookmarkStart w:id="123" w:name="ref-Jia1979Xujayao"/>
    <w:p>
      <w:pPr>
        <w:pStyle w:val="Bibliography"/>
      </w:pPr>
      <w:r>
        <w:t xml:space="preserve">Jia, L., Wei, Q., Li, C., 1979. Excavation report of the xujayao paleolithic cultural site in 1976. Vertebrata PalAsiatica 17–33, 87–90.</w:t>
      </w:r>
    </w:p>
    <w:bookmarkEnd w:id="123"/>
    <w:bookmarkStart w:id="124" w:name="ref-jones1994"/>
    <w:p>
      <w:pPr>
        <w:pStyle w:val="Bibliography"/>
      </w:pPr>
      <w:r>
        <w:t xml:space="preserve">Jones, P.R., others, 1994. Results of experimental work in relation to the stone industries of olduvai gorge. Olduvai gorge 5, 1968–1971.</w:t>
      </w:r>
    </w:p>
    <w:bookmarkEnd w:id="124"/>
    <w:bookmarkStart w:id="125"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5"/>
    <w:bookmarkStart w:id="126" w:name="ref-leakey1979"/>
    <w:p>
      <w:pPr>
        <w:pStyle w:val="Bibliography"/>
      </w:pPr>
      <w:r>
        <w:t xml:space="preserve">Leakey, M.D., 1979. Olduvai gorge: My search for early man. William Collins, London.</w:t>
      </w:r>
    </w:p>
    <w:bookmarkEnd w:id="126"/>
    <w:bookmarkStart w:id="127" w:name="ref-leakey1971"/>
    <w:p>
      <w:pPr>
        <w:pStyle w:val="Bibliography"/>
      </w:pPr>
      <w:r>
        <w:t xml:space="preserve">Leakey, M.D., 1971. Olduvai gorge, vol. 3: Excavations in beds i and II, 1960–1963. Cambridge University Press, Cambridge.</w:t>
      </w:r>
    </w:p>
    <w:bookmarkEnd w:id="127"/>
    <w:bookmarkStart w:id="128" w:name="ref-Li1991"/>
    <w:p>
      <w:pPr>
        <w:pStyle w:val="Bibliography"/>
      </w:pPr>
      <w:r>
        <w:t xml:space="preserve">Li, C., Xu, C., 1991. Paleolithic artifacts discovered at the liao river in anyi, jiangxi, and their significance. Acta Anthropologica Sinica 10, 8.</w:t>
      </w:r>
    </w:p>
    <w:bookmarkEnd w:id="128"/>
    <w:bookmarkStart w:id="129" w:name="ref-li2000"/>
    <w:p>
      <w:pPr>
        <w:pStyle w:val="Bibliography"/>
      </w:pPr>
      <w:r>
        <w:t xml:space="preserve">Li, R., Qiao, J., Qiu, W., Zhai, Q., Li, Y., 2000. Soluble salt deposit in the nihewan beds and its environmental significance. Science in China Series D: Earth Sciences 43, 464–479.</w:t>
      </w:r>
    </w:p>
    <w:bookmarkEnd w:id="129"/>
    <w:bookmarkStart w:id="130" w:name="ref-lin2024"/>
    <w:p>
      <w:pPr>
        <w:pStyle w:val="Bibliography"/>
      </w:pPr>
      <w:r>
        <w:t xml:space="preserve">Lin, S.C., 2024. A new method for quantifying flake scar organisation on cores using orientation statistics. Journal of Archaeological Science.</w:t>
      </w:r>
    </w:p>
    <w:bookmarkEnd w:id="130"/>
    <w:bookmarkStart w:id="131"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1"/>
    <w:bookmarkStart w:id="132" w:name="ref-Liu1984Jingchuan"/>
    <w:p>
      <w:pPr>
        <w:pStyle w:val="Bibliography"/>
      </w:pPr>
      <w:r>
        <w:t xml:space="preserve">Liu, Y., Huang, W., Lin, Y., 1984. Human fossils and paleolithic artifacts discovered in jingchuan, gansu province. Acta Anthropologica Sinica 11.</w:t>
      </w:r>
    </w:p>
    <w:bookmarkEnd w:id="132"/>
    <w:bookmarkStart w:id="133" w:name="ref-LixianMuseum1992"/>
    <w:p>
      <w:pPr>
        <w:pStyle w:val="Bibliography"/>
      </w:pPr>
      <w:r>
        <w:t xml:space="preserve">Lixian County Museum, 1992. A brief report on the paleolithic localities at zhangjiatan and xiangong in lixian, hunan province. Huaxia Archaeology 8.</w:t>
      </w:r>
    </w:p>
    <w:bookmarkEnd w:id="133"/>
    <w:bookmarkStart w:id="134" w:name="ref-Lu2021Spheroids"/>
    <w:p>
      <w:pPr>
        <w:pStyle w:val="Bibliography"/>
      </w:pPr>
      <w:r>
        <w:t xml:space="preserve">Lu, L., Dong, B., Chen, S., 2021. An experimental study on stone spheroids from the paleolithic period in china. Acta Anthropologica Sinica 40, 13.</w:t>
      </w:r>
    </w:p>
    <w:bookmarkEnd w:id="134"/>
    <w:bookmarkStart w:id="135"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5"/>
    <w:bookmarkStart w:id="136" w:name="ref-Ma2011Xujayao"/>
    <w:p>
      <w:pPr>
        <w:pStyle w:val="Bibliography"/>
      </w:pPr>
      <w:r>
        <w:t xml:space="preserve">Ma, N., Pei, S., Gao, X., 2011. Study of lithic artifacts excavated from locality 74093 at the xujayao site in 1977. Acta Anthropologica Sinica 30, 14.</w:t>
      </w:r>
    </w:p>
    <w:bookmarkEnd w:id="136"/>
    <w:bookmarkStart w:id="13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7"/>
    <w:bookmarkStart w:id="13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8">
        <w:r>
          <w:rPr>
            <w:rStyle w:val="Hyperlink"/>
          </w:rPr>
          <w:t xml:space="preserve">https://doi.org/10.1016/j.jaa.2004.12.001</w:t>
        </w:r>
      </w:hyperlink>
    </w:p>
    <w:bookmarkEnd w:id="139"/>
    <w:bookmarkStart w:id="14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0"/>
    <w:bookmarkStart w:id="142" w:name="ref-muller2023"/>
    <w:p>
      <w:pPr>
        <w:pStyle w:val="Bibliography"/>
      </w:pPr>
      <w:r>
        <w:t xml:space="preserve">Muller, A., Clarkson, C., 2023. Filling in the blanks: Standardization of lithic flake production throughout the stone age. Lithic Technology 48, 222–236.</w:t>
      </w:r>
      <w:r>
        <w:t xml:space="preserve"> </w:t>
      </w:r>
      <w:hyperlink r:id="rId141">
        <w:r>
          <w:rPr>
            <w:rStyle w:val="Hyperlink"/>
          </w:rPr>
          <w:t xml:space="preserve">https://doi.org/10.1080/01977261.2022.2103290</w:t>
        </w:r>
      </w:hyperlink>
    </w:p>
    <w:bookmarkEnd w:id="142"/>
    <w:bookmarkStart w:id="14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3">
        <w:r>
          <w:rPr>
            <w:rStyle w:val="Hyperlink"/>
          </w:rPr>
          <w:t xml:space="preserve">https://doi.org/10.1016/j.quaint.2025.109681</w:t>
        </w:r>
      </w:hyperlink>
    </w:p>
    <w:bookmarkEnd w:id="144"/>
    <w:bookmarkStart w:id="14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5"/>
    <w:bookmarkStart w:id="14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6"/>
    <w:bookmarkStart w:id="14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7">
        <w:r>
          <w:rPr>
            <w:rStyle w:val="Hyperlink"/>
          </w:rPr>
          <w:t xml:space="preserve">https://doi.org/10.1016/j.palaeo.2019.05.014</w:t>
        </w:r>
      </w:hyperlink>
    </w:p>
    <w:bookmarkEnd w:id="148"/>
    <w:bookmarkStart w:id="149" w:name="ref-pei2002"/>
    <w:p>
      <w:pPr>
        <w:pStyle w:val="Bibliography"/>
      </w:pPr>
      <w:r>
        <w:t xml:space="preserve">Pei, S., Hou, Y., 2002. Preliminary study on raw materials exploitation at donggutuo site, nihewan basin, north china. Acta Anthropologica Sinica 21, 53–66.</w:t>
      </w:r>
    </w:p>
    <w:bookmarkEnd w:id="149"/>
    <w:bookmarkStart w:id="151"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0">
        <w:r>
          <w:rPr>
            <w:rStyle w:val="Hyperlink"/>
          </w:rPr>
          <w:t xml:space="preserve">https://doi.org/10.1371/journal.pone.0187251</w:t>
        </w:r>
      </w:hyperlink>
    </w:p>
    <w:bookmarkEnd w:id="151"/>
    <w:bookmarkStart w:id="153"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2">
        <w:r>
          <w:rPr>
            <w:rStyle w:val="Hyperlink"/>
          </w:rPr>
          <w:t xml:space="preserve">https://doi.org/10.1006/jasc.1996.0152</w:t>
        </w:r>
      </w:hyperlink>
    </w:p>
    <w:bookmarkEnd w:id="153"/>
    <w:bookmarkStart w:id="154"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4"/>
    <w:bookmarkStart w:id="155" w:name="ref-SXA2014Dingcun"/>
    <w:p>
      <w:pPr>
        <w:pStyle w:val="Bibliography"/>
      </w:pPr>
      <w:r>
        <w:t xml:space="preserve">Shanxi Provincial Institute of Archaeology, 2014. The dingcun paleolithic site complex: Excavation report of the dingcun sites (1976–1980). Cultural Relics Publishing House.</w:t>
      </w:r>
    </w:p>
    <w:bookmarkEnd w:id="155"/>
    <w:bookmarkStart w:id="157" w:name="ref-stout2015"/>
    <w:p>
      <w:pPr>
        <w:pStyle w:val="Bibliography"/>
      </w:pPr>
      <w:r>
        <w:t xml:space="preserve">Stout, D., Hecht, E., Khreisheh, N., Bradley, B., Chaminade, T., 2015. Cognitive Demands of Lower Paleolithic Toolmaking. PLOS ONE 10, e0121804.</w:t>
      </w:r>
      <w:r>
        <w:t xml:space="preserve"> </w:t>
      </w:r>
      <w:hyperlink r:id="rId156">
        <w:r>
          <w:rPr>
            <w:rStyle w:val="Hyperlink"/>
          </w:rPr>
          <w:t xml:space="preserve">https://doi.org/10.1371/journal.pone.0121804</w:t>
        </w:r>
      </w:hyperlink>
    </w:p>
    <w:bookmarkEnd w:id="157"/>
    <w:bookmarkStart w:id="158" w:name="ref-Tan1999"/>
    <w:p>
      <w:pPr>
        <w:pStyle w:val="Bibliography"/>
      </w:pPr>
      <w:r>
        <w:t xml:space="preserve">Tan, Y., 1999. A report on the paleolithic locality on the northern slope of huzhua mountain. Hunan Archaeological Journal 15.</w:t>
      </w:r>
    </w:p>
    <w:bookmarkEnd w:id="158"/>
    <w:bookmarkStart w:id="159" w:name="ref-Tao1984Dingcun"/>
    <w:p>
      <w:pPr>
        <w:pStyle w:val="Bibliography"/>
      </w:pPr>
      <w:r>
        <w:t xml:space="preserve">Tao, F., Liang, Z., Xie, X., Yin, Z., Ding, W., Hu, W., Ding, S., Yang, F., Yin, L., Xie, X., 1984. Excavation report of locality 80:01 at the dingcun paleolithic site. Prehistoric Research 57–68.</w:t>
      </w:r>
    </w:p>
    <w:bookmarkEnd w:id="159"/>
    <w:bookmarkStart w:id="160"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0"/>
    <w:bookmarkStart w:id="162"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1">
        <w:r>
          <w:rPr>
            <w:rStyle w:val="Hyperlink"/>
          </w:rPr>
          <w:t xml:space="preserve">https://doi.org/10.1371/journal.pone.0228290</w:t>
        </w:r>
      </w:hyperlink>
    </w:p>
    <w:bookmarkEnd w:id="162"/>
    <w:bookmarkStart w:id="163" w:name="ref-de2018oldowan"/>
    <w:p>
      <w:pPr>
        <w:pStyle w:val="Bibliography"/>
      </w:pPr>
      <w:r>
        <w:t xml:space="preserve">Torre, I. de la, Mora, R., 2018. Oldowan technological behaviour at HWK EE (olduvai gorge, tanzania). Journal of Human Evolution 120, 236–273.</w:t>
      </w:r>
    </w:p>
    <w:bookmarkEnd w:id="163"/>
    <w:bookmarkStart w:id="165"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4">
        <w:r>
          <w:rPr>
            <w:rStyle w:val="Hyperlink"/>
          </w:rPr>
          <w:t xml:space="preserve">https://doi.org/10.1007/s10816-017-9339-x</w:t>
        </w:r>
      </w:hyperlink>
    </w:p>
    <w:bookmarkEnd w:id="165"/>
    <w:bookmarkStart w:id="167"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6">
        <w:r>
          <w:rPr>
            <w:rStyle w:val="Hyperlink"/>
          </w:rPr>
          <w:t xml:space="preserve">https://doi.org/10.1086/624298</w:t>
        </w:r>
      </w:hyperlink>
    </w:p>
    <w:bookmarkEnd w:id="167"/>
    <w:bookmarkStart w:id="168" w:name="ref-Wang2016Houjiayao"/>
    <w:p>
      <w:pPr>
        <w:pStyle w:val="Bibliography"/>
      </w:pPr>
      <w:r>
        <w:t xml:space="preserve">Wang, F., 2016. Comprehensive study of the houjiayao site (Ph.D. dissertation). Hebei Normal University.</w:t>
      </w:r>
    </w:p>
    <w:bookmarkEnd w:id="168"/>
    <w:bookmarkStart w:id="169" w:name="ref-Wang2000Yaoshi"/>
    <w:p>
      <w:pPr>
        <w:pStyle w:val="Bibliography"/>
      </w:pPr>
      <w:r>
        <w:t xml:space="preserve">Wang, S., Hu, S., 2000. Paleolithic artifacts from the yaoshi basin, upper danjiang river. Kaogu yu Wenwu (Archaeology and Cultural Relics) 7.</w:t>
      </w:r>
    </w:p>
    <w:bookmarkEnd w:id="169"/>
    <w:bookmarkStart w:id="170"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0"/>
    <w:bookmarkStart w:id="171"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1"/>
    <w:bookmarkStart w:id="172" w:name="ref-Wang2010Jinstai"/>
    <w:p>
      <w:pPr>
        <w:pStyle w:val="Bibliography"/>
      </w:pPr>
      <w:r>
        <w:t xml:space="preserve">Wang, X., Wei, J., Chen, Q., Tang, Z., Wang, C., 2010. Excavation report of the jinstai cave site, inner mongolia. Acta Anthropologica Sinica 18.</w:t>
      </w:r>
    </w:p>
    <w:bookmarkEnd w:id="172"/>
    <w:bookmarkStart w:id="173" w:name="ref-Wei1984"/>
    <w:p>
      <w:pPr>
        <w:pStyle w:val="Bibliography"/>
      </w:pPr>
      <w:r>
        <w:t xml:space="preserve">Wei, Q., Huang, W., Zhang, X., 1984. Newly discovered paleolithic artifacts at mujiaqiao, lijiang. Acta Anthropologica Sinica 11.</w:t>
      </w:r>
    </w:p>
    <w:bookmarkEnd w:id="173"/>
    <w:bookmarkStart w:id="175" w:name="ref-willoughby1985"/>
    <w:p>
      <w:pPr>
        <w:pStyle w:val="Bibliography"/>
      </w:pPr>
      <w:r>
        <w:t xml:space="preserve">Willoughby, P.R., 1985. Spheroids and battered stones in the African Early Stone Age. World Archaeology 17, 44–60.</w:t>
      </w:r>
      <w:r>
        <w:t xml:space="preserve"> </w:t>
      </w:r>
      <w:hyperlink r:id="rId174">
        <w:r>
          <w:rPr>
            <w:rStyle w:val="Hyperlink"/>
          </w:rPr>
          <w:t xml:space="preserve">https://doi.org/10.1080/00438243.1985.9979949</w:t>
        </w:r>
      </w:hyperlink>
    </w:p>
    <w:bookmarkEnd w:id="175"/>
    <w:bookmarkStart w:id="176" w:name="ref-Wu1989Dangcheng"/>
    <w:p>
      <w:pPr>
        <w:pStyle w:val="Bibliography"/>
      </w:pPr>
      <w:r>
        <w:t xml:space="preserve">Wu, Z., Sun, B., 1989. Preliminary study of the paleolithic cave site complex at dangcheng, heshun county, shanxi province. Acta Anthropologica Sinica 8, 12.</w:t>
      </w:r>
    </w:p>
    <w:bookmarkEnd w:id="176"/>
    <w:bookmarkStart w:id="177" w:name="ref-wynn1995"/>
    <w:p>
      <w:pPr>
        <w:pStyle w:val="Bibliography"/>
      </w:pPr>
      <w:r>
        <w:t xml:space="preserve">Wynn, T., 1995. Handaxe enigmas. World Archaeology 27, 10–24.</w:t>
      </w:r>
    </w:p>
    <w:bookmarkEnd w:id="177"/>
    <w:bookmarkStart w:id="178" w:name="ref-Xi1994"/>
    <w:p>
      <w:pPr>
        <w:pStyle w:val="Bibliography"/>
      </w:pPr>
      <w:r>
        <w:t xml:space="preserve">Xi, D., 1994. A report on the paleolithic survey in the lower reaches of the yuan river. Hunan Archaeological Journal 6.</w:t>
      </w:r>
    </w:p>
    <w:bookmarkEnd w:id="178"/>
    <w:bookmarkStart w:id="179"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79"/>
    <w:bookmarkStart w:id="180" w:name="ref-XiaokongshanTeam1988"/>
    <w:p>
      <w:pPr>
        <w:pStyle w:val="Bibliography"/>
      </w:pPr>
      <w:r>
        <w:t xml:space="preserve">Xiaokongshan Joint Excavation Team, 1988. Excavation report of the xiaokongshan paleolithic site in nanzhao, henan, in 1987. Huaxia Archaeology 15.</w:t>
      </w:r>
    </w:p>
    <w:bookmarkEnd w:id="180"/>
    <w:bookmarkStart w:id="181" w:name="ref-Xie1982Liujiacha"/>
    <w:p>
      <w:pPr>
        <w:pStyle w:val="Bibliography"/>
      </w:pPr>
      <w:r>
        <w:t xml:space="preserve">Xie, J., 1982. The paleolithic site at liujiacha, huan county, gansu province. Kaogu Xuebao (Acta Archaeologica Sinica) 16.</w:t>
      </w:r>
    </w:p>
    <w:bookmarkEnd w:id="181"/>
    <w:bookmarkStart w:id="183"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2">
        <w:r>
          <w:rPr>
            <w:rStyle w:val="Hyperlink"/>
          </w:rPr>
          <w:t xml:space="preserve">https://doi.org/10.1002/evan.21813</w:t>
        </w:r>
      </w:hyperlink>
    </w:p>
    <w:bookmarkEnd w:id="183"/>
    <w:bookmarkStart w:id="185"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4">
        <w:r>
          <w:rPr>
            <w:rStyle w:val="Hyperlink"/>
          </w:rPr>
          <w:t xml:space="preserve">https://doi.org/10.1371/journal.pone.0185101</w:t>
        </w:r>
      </w:hyperlink>
    </w:p>
    <w:bookmarkEnd w:id="185"/>
    <w:bookmarkStart w:id="186"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6"/>
    <w:bookmarkStart w:id="187" w:name="ref-Yi2012Spheroids"/>
    <w:p>
      <w:pPr>
        <w:pStyle w:val="Bibliography"/>
      </w:pPr>
      <w:r>
        <w:t xml:space="preserve">Yi, M., Gao, X., Pei, S., 2012. A preliminary analysis of the definition, classification, and function of stone spheroids. Acta Anthropologica Sinica 31, 9.</w:t>
      </w:r>
    </w:p>
    <w:bookmarkEnd w:id="187"/>
    <w:bookmarkStart w:id="188"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8"/>
    <w:bookmarkStart w:id="189" w:name="ref-yuwei2023"/>
    <w:p>
      <w:pPr>
        <w:pStyle w:val="Bibliography"/>
      </w:pPr>
      <w:r>
        <w:t xml:space="preserve">Yuwei, D., Yue, Z., Zhi, Y., Shuwen, P., 2023. A taphonomic analysis of faunal remains from the jijiazhuang paleolithic site in the yuxian basin. Acta Anthropologica Sinica 42, 359.</w:t>
      </w:r>
    </w:p>
    <w:bookmarkEnd w:id="189"/>
    <w:bookmarkStart w:id="19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0">
        <w:r>
          <w:rPr>
            <w:rStyle w:val="Hyperlink"/>
          </w:rPr>
          <w:t xml:space="preserve">https://doi.org/10.1038/35096551</w:t>
        </w:r>
      </w:hyperlink>
    </w:p>
    <w:bookmarkEnd w:id="191"/>
    <w:bookmarkStart w:id="19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2">
        <w:r>
          <w:rPr>
            <w:rStyle w:val="Hyperlink"/>
          </w:rPr>
          <w:t xml:space="preserve">https://doi.org/10.1038/nature02829</w:t>
        </w:r>
      </w:hyperlink>
    </w:p>
    <w:bookmarkEnd w:id="193"/>
    <w:bookmarkEnd w:id="194"/>
    <w:p>
      <w:r>
        <w:br w:type="page"/>
      </w:r>
    </w:p>
    <w:bookmarkStart w:id="195" w:name="colophon"/>
    <w:p>
      <w:pPr>
        <w:pStyle w:val="Heading3"/>
      </w:pPr>
      <w:r>
        <w:t xml:space="preserve">Colophon</w:t>
      </w:r>
    </w:p>
    <w:p>
      <w:pPr>
        <w:pStyle w:val="FirstParagraph"/>
      </w:pPr>
      <w:r>
        <w:t xml:space="preserve">This report was generated on 2025-07-22 12:38:04.282119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2025-07-22</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[128cc8e] 2025-07-22: resolve merge conflict</w:t>
      </w:r>
    </w:p>
    <w:bookmarkEnd w:id="195"/>
    <w:bookmarkEnd w:id="19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23" Target="media/rId23.png" /><Relationship Type="http://schemas.openxmlformats.org/officeDocument/2006/relationships/image" Id="rId45" Target="media/rId45.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76" Target="media/rId76.png" /><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2025-07-22T19:38:14Z</dcterms:created>
  <dcterms:modified xsi:type="dcterms:W3CDTF">2025-07-22T19:38:14Z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July 22,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